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aa"/>
        <w:pageBreakBefore w:val="0"/>
        <w:jc w:val="center"/>
        <w:rPr/>
        <w:pBdr>
          <w:bottom w:val="single" w:sz="8" w:space="4" w:color="4F81BD"/>
        </w:pBdr>
      </w:pPr>
      <w:r>
        <w:rPr/>
        <w:t>Supplementary checklists</w:t>
      </w:r>
    </w:p>
    <w:p>
      <w:pPr>
        <w:pStyle w:val="SupplementSubtitle"/>
        <w:keepNext/>
        <w:pageBreakBefore w:val="0"/>
        <w:spacing w:before="0" w:after="200"/>
        <w:jc w:val="center"/>
        <w:rPr/>
      </w:pPr>
      <w:r>
        <w:rPr/>
        <w:t>Interpretable machine learning for classifying time-defined post-injury recovery stage from gait data after spinal cord injury</w:t>
      </w:r>
    </w:p>
    <w:p>
      <w:pPr>
        <w:pStyle w:val="ChecklistNote"/>
        <w:pageBreakBefore w:val="0"/>
        <w:jc w:val="left"/>
        <w:rPr/>
      </w:pPr>
      <w:r>
        <w:rPr/>
        <w:t>Scope. ARRIVE 2.0 applies to the source animal studies and secondary analysis. TRIPOD+AI and PROBAST+AI are adapted reporting/appraisal frameworks only; no formal compliance or validated PROBAST+AI rating is claimed. Unavailable source-study details are identified rather than inferred.</w:t>
      </w:r>
    </w:p>
    <w:p>
      <w:pPr>
        <w:pStyle w:val="ChecklistNote"/>
        <w:pageBreakBefore w:val="0"/>
        <w:jc w:val="left"/>
        <w:rPr/>
      </w:pPr>
      <w:r>
        <w:rPr/>
        <w:t>Status key. Complete/Confirmed/Yes = reported; Partly complete/Some concern/Qualified = limited but discussed; other labels state the applicable restriction. Statuses describe reporting, not external verification.</w:t>
      </w:r>
    </w:p>
    <w:p>
      <w:pPr>
        <w:pStyle w:val="1"/>
        <w:keepNext/>
        <w:keepLines/>
        <w:pageBreakBefore/>
        <w:jc w:val="left"/>
        <w:rPr/>
      </w:pPr>
      <w:r>
        <w:rPr>
          <w:rFonts w:ascii="Arial" w:hAnsi="Arial" w:eastAsia="Arial" w:cs="Arial"/>
        </w:rPr>
        <w:t>Checklist S1. Adapted TRIPOD+AI reporting map</w:t>
      </w:r>
    </w:p>
    <w:tbl>
      <w:tblPr>
        <w:tblStyle w:val="aff4"/>
        <w:tblW w:w="14399" w:type="dxa"/>
        <w:jc w:val="center"/>
        <w:tblInd w:w="0" w:type="dxa"/>
        <w:tblLayout w:type="fixed"/>
        <w:tblCellMar>
          <w:top w:w="40" w:type="dxa"/>
          <w:start w:w="55" w:type="dxa"/>
          <w:bottom w:w="40" w:type="dxa"/>
          <w:end w:w="55" w:type="dxa"/>
        </w:tblCellMar>
        <w:tblLook w:val="04a0" w:firstRow="1" w:noVBand="1" w:lastRow="0" w:firstColumn="1" w:lastColumn="0" w:noHBand="0"/>
      </w:tblPr>
      <w:tblGrid>
        <w:gridCol w:w="1843"/>
        <w:gridCol w:w="3239"/>
        <w:gridCol w:w="1901"/>
        <w:gridCol w:w="7416"/>
      </w:tblGrid>
      <w:tr>
        <w:trPr>
          <w:tblHeader w:val="true"/>
          <w:cantSplit/>
        </w:trPr>
        <w:tc>
          <w:tcPr>
            <w:tcW w:w="1843" w:type="dxa"/>
            <w:vAlign w:val="center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TRIPOD+AI item</w:t>
            </w:r>
          </w:p>
        </w:tc>
        <w:tc>
          <w:tcPr>
            <w:tcW w:w="3239" w:type="dxa"/>
            <w:vAlign w:val="center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Requirement</w:t>
            </w:r>
          </w:p>
        </w:tc>
        <w:tc>
          <w:tcPr>
            <w:tcW w:w="1901" w:type="dxa"/>
            <w:vAlign w:val="center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Status</w:t>
            </w:r>
          </w:p>
        </w:tc>
        <w:tc>
          <w:tcPr>
            <w:tcW w:w="7416" w:type="dxa"/>
            <w:vAlign w:val="center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Location / response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1. Title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Model study, population, and outcome.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Title identifies interpretable machine learning, gait after spinal cord injury, and time-defined recovery-phase classification.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2. Abstract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Objectives, data, methods, results, and conclusions.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Partly 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Abstract reports the cohort, predictors, three-classifier comparison, ensemble-index derivation, surrogate analysis, and validation limits.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3a. Background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Context and rationale.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Introduction: rationale for multivariable, interpretable ordinal gait modeling.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3b. Target population and intended purpose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Target population, purpose, and users.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Partly 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Main manuscript; Supplementary Methods S1: control Wistar rats under the represented CatWalk protocol; intended users are not stated explicitly.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3c. Health inequalities / subgroup concerns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Relevant subgroup or inequality concerns.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Adapted / limited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Human inequalities are not applicable. Sex-specific assessment was unavailable; transportability across sex, strain, experiment, injury context, and missingness is discussed.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4. Objectives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Development/evaluation objective.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Abstract/Introduction: development, internal validation, and co-equal comparison of three ordinal tree classifiers, followed by feature interpretation, a five-feature classifier rerun, equal-weight ensemble recovery-index construction, and GAM-surrogate analysis.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5a. Data source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Data source and representativeness.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Methods 3.1; Supplementary Methods S1; Tables S1-S3: 2,101 source rows/451 animals from five source experiments, and a frozen 396-record/115-animal cohort.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5b. Dates of collected data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Collection dates and follow-up.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Partly 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Calendar dates were unavailable; baseline and days 1, 3, 7, 14, 21, 28, and 35 are reported where present, with experiment-specific phase maps.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6a. Study setting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Setting, centres, and location.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Partly 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Preclinical CatWalk SCI study in Germany; laboratory/centre and calendar period are not stated.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6b. Eligibility criteria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Eligibility criteria.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Methods 3.2; Supplementary Methods S2; Table S2: post-baseline, QC-retained control records with valid animal ID and assigned phase.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6c. Treatments received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Treatments and analytical handling.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 / adapted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Controls only; treatment labels were excluded from predictors.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7. Data preparation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Preprocessing, QC, and harmonization.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Methods 3.1-3.4; Supplementary Methods S1-S4; Tables S1-S6: provenance, bilateral aggregation, QC, harmonization, cohort freezing, and fold-local features.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8a. Outcome definition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Outcome definition, timing, and rationale.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Methods 3.2; Supplementary Methods S2.3: Early = IL4 day 1, VEGF day 3, and all available day 7 observations; Middle = days 14/21; Late = days 28/35 where present. The outcome is contemporaneous, not prognostic or biological.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8b. Outcome assessor qualifications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Outcome-assessor qualifications.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7E6E6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Not applicable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Deterministic metadata-derived outcome.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8c. Blinding of outcome assessment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Outcome-assessment blinding.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7E6E6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Not applicable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No subjective assessment; timepoint and recovery_phase defined labels but were excluded from predictors.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9a. Predictor selection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Initial predictor selection.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Methods 3.3/3.5; Supplementary Methods S3; Tables S4-S5: 19 raw inputs to 26 prespecified features; 26-feature classifier comparison followed by a post-selection five-feature ensemble-index analysis.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9b. Predictor definitions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Predictor definitions and transformations.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Supplementary Methods S3; Tables S4-S5: inputs, units, bilateral aggregation, formulas, epsilon, and fold-local z statistics.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9c. Predictor assessor qualifications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Predictor-assessor qualifications.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 / limited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CatWalk outputs were automatically classified, then corrected and validated by three researchers; masking and inter-rater reliability were unavailable.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10. Sample size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Sample-size basis.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Partly 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396 records/115 animals; no prospective calculation; all eligible records used; animal-clustered uncertainty.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11. Missing data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Missing-data handling.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Methods 3.4; Supplementary Methods S4; Table S6: 4,179/10,296 cells missing (40.6%); trees used native handling, and the GAM used fold-local median imputation.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12a. Data use / partitioning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Development/evaluation partitioning.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Methods 3.5; Supplementary Methods S5.2; Table S7: five animal-grouped outer folds and five grouped inner folds; experiment-phase balancing where feasible.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12b. Predictor handling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Transformations, rescaling, and functional form.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Fold-local engineering/statistics; no global scaling or imputation; GAM preprocessing was fold-local.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12c. Model type, tuning, internal validation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Model type, tuning, and internal validation.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Methods 3.5; Supplementary Methods S5; Table S8: ordinal CatBoost, LightGBM, and XGBoost; 100 Optuna trials per framework-fold; grouped nested cross-validation.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12d. Heterogeneity / clustering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Clustering and heterogeneity.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Animal-grouped splitting/inference; experiment used for balancing and summaries, not prediction. Estimand: new animals under the pooled protocol.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12e. Performance measures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Discrimination, calibration, error, and comparison measures.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Methods 3.6; Supplementary Methods S6-S10; Tables S9-S17: cumulative AUROCs, accuracy, balanced accuracy, ordinal MAE, Brier score, log loss, calibration, clustered CIs, and GAM fidelity.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12f. Model updating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Model updating after evaluation.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7E6E6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Not applicable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No updating; full-data refits of all three five-feature ensemble components were excluded from performance estimation.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12g. Prediction calculation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Prediction calculation and implementation.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Cumulative probabilities reconstruct Early/Middle/Late probabilities; RI = 50 × P(Middle) + 100 × P(Late). Pipelines and code: https://gitlab.com/sergienko.michael/sci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13. Class imbalance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Class-imbalance handling.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Early/Middle/Late: 175/116/105 records. No outcome resampling; grouped folds balanced phase where feasible.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14. Fairness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Fairness and subgroup assessment.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Adapted / limited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Human fairness is not applicable; sex was unavailable. Transport across sex, strain, severity, treatment, laboratory, and acquisition requires validation.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15. Model output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Outputs and thresholds.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Class probabilities and predicted phase from each classifier; equal-weight 0-100 ensemble recovery index. No clinical threshold.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16. Training vs evaluation differences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Development-versus-evaluation differences.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 (internal)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Animal-separated folds came from the same pooled protocol; estimates target new animals within that protocol, not external settings.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17. Ethical approval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Ethics approval.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 (qualified)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Ethics statement: source documentation identifies G-211/15 under German requirements; no unverified details were inferred.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18a. Funding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Funding and funder role.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Declarations: no external funding.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18b. Conflicts of interest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Conflicts of interest.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Declarations: none.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18c. Protocol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Protocol availability.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Partly 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Methods, configurations, and versioned code are available; no separate prospective ML protocol.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18d. Registration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Registration.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7E6E6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Not registered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No prospective prediction-model registration reported.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18e. Data sharing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Data sharing.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 (restricted)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Data Availability; Supplementary Methods S13: aggregate outputs available; raw and animal-level data controlled.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18f. Code sharing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Code sharing.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https://gitlab.com/sergienko.michael/sci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19. Patient / public involvement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Patient/public involvement.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7E6E6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Not applicable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Preclinical secondary analysis; none.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20a. Participant / record flow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Animal/record flow.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Table S2: 2,101 source rows/451 animals; 1,524 QC-retained rows/387 animals; frozen cohort 396 records/115 animals; exclusions reported.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20b. Characteristics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Characteristics and missingness.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 / limited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Results 4.1; Tables S2-S6: cohort and missingness distributions. Wistar rats aged approximately 6–8 weeks and weighing 230–265 g; sex, individual age/weight, and calendar dates unavailable.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20c. Evaluation vs development distributions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Development/evaluation distributions.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Partly complete (internal)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Table S7 reports fold-level records, animals, and phase counts; predictor distributions by fold are not tabulated.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21. Model-development sample size per analysis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Sample size per analysis.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Tables S2–S3 and S7, together with the frozen fold-assignment artifacts.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22. Full model specification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Full model specification.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Tables S5, S8, S18-S19 and repository artifacts: formulas, search spaces, saved classifier components, ensemble metadata, dependencies, provenance, and fold parameters.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23a. Model performance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Performance estimates and uncertainty.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Results 4.2; main Table 3; Supplementary Table S9; Figures S1-S3. CatBoost mean cumulative AUROC 0.861 (95% CI 0.832–0.889); threshold and paired results reported.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23b. Cluster heterogeneity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Cluster heterogeneity.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Partly 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Fold metrics and animal-clustered CIs are reported; experiment summaries are contextual because phase support differs.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24. Model updating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Model updating.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7E6E6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Not applicable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No updating performed.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25. Interpretation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Interpretation.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Discussion: phase classification is not biological recovery; attribution is not causality; the classifier comparison, five-feature sensitivity analysis, ensemble index, and surrogate are explicitly distinguished.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26. Limitations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Limitations and generalizability.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Discussion: internal validation, clustered sample, phase-dependent missingness, time-derived outcome, bilateral aggregation, post-selection analyses, and transportability.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27a. Poor-quality / unavailable input data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Handling poor/unavailable inputs.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Pipeline validates schema and transformations; tree models handle missingness natively; new schemas require revalidation.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27b. User interaction / expertise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Required user expertise.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Partly 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Use requires expertise in CatWalk exports, preclinical SCI gait analysis, and time-defined—not prognostic—interpretation; intended users are not stated explicitly.</w:t>
            </w:r>
          </w:p>
        </w:tc>
      </w:tr>
      <w:tr>
        <w:trPr>
          <w:cantSplit/>
        </w:trPr>
        <w:tc>
          <w:tcPr>
            <w:tcW w:w="184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27c. Future research / generalizability</w:t>
            </w:r>
          </w:p>
        </w:tc>
        <w:tc>
          <w:tcPr>
            <w:tcW w:w="3239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Future validation.</w:t>
            </w:r>
          </w:p>
        </w:tc>
        <w:tc>
          <w:tcPr>
            <w:tcW w:w="1901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74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Independent cross-laboratory, protocol, sex/strain, severity, treatment, and biological-endpoint validation.</w:t>
            </w:r>
          </w:p>
        </w:tc>
      </w:tr>
    </w:tbl>
    <w:p>
      <w:pPr>
        <w:pStyle w:val="1"/>
        <w:keepNext/>
        <w:keepLines/>
        <w:pageBreakBefore/>
        <w:jc w:val="left"/>
        <w:rPr/>
      </w:pPr>
      <w:r>
        <w:rPr>
          <w:rFonts w:ascii="Arial" w:hAnsi="Arial" w:eastAsia="Arial" w:cs="Arial"/>
        </w:rPr>
        <w:t>Checklist S2. Adapted PROBAST+AI risk-of-bias and applicability assessment</w:t>
      </w:r>
    </w:p>
    <w:tbl>
      <w:tblPr>
        <w:tblStyle w:val="aff4"/>
        <w:tblW w:w="14399" w:type="dxa"/>
        <w:jc w:val="center"/>
        <w:tblInd w:w="0" w:type="dxa"/>
        <w:tblLayout w:type="fixed"/>
        <w:tblCellMar>
          <w:top w:w="40" w:type="dxa"/>
          <w:start w:w="55" w:type="dxa"/>
          <w:bottom w:w="40" w:type="dxa"/>
          <w:end w:w="55" w:type="dxa"/>
        </w:tblCellMar>
        <w:tblLook w:val="04a0" w:firstRow="1" w:noVBand="1" w:lastRow="0" w:firstColumn="1" w:lastColumn="0" w:noHBand="0"/>
      </w:tblPr>
      <w:tblGrid>
        <w:gridCol w:w="2950"/>
        <w:gridCol w:w="289"/>
        <w:gridCol w:w="2232"/>
        <w:gridCol w:w="8928"/>
      </w:tblGrid>
      <w:tr>
        <w:trPr>
          <w:tblHeader w:val="true"/>
          <w:cantSplit/>
        </w:trPr>
        <w:tc>
          <w:tcPr>
            <w:tcW w:w="3239" w:type="dxa"/>
            <w:gridSpan w:val="2"/>
            <w:vAlign w:val="center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Study context</w:t>
            </w:r>
          </w:p>
        </w:tc>
        <w:tc>
          <w:tcPr>
            <w:tcW w:w="11160" w:type="dxa"/>
            <w:gridSpan w:val="2"/>
            <w:vAlign w:val="center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Entry</w:t>
            </w:r>
          </w:p>
        </w:tc>
      </w:tr>
      <w:tr>
        <w:trPr>
          <w:cantSplit/>
        </w:trPr>
        <w:tc>
          <w:tcPr>
            <w:tcW w:w="3239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Study type</w:t>
            </w:r>
          </w:p>
        </w:tc>
        <w:tc>
          <w:tcPr>
            <w:tcW w:w="11160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Three-classifier development and comparison with internal validation, followed by interpretation, a five-feature sensitivity analysis, equal-weight ensemble recovery-index construction, and surrogate analysis. PROBAST+AI use is adapted.</w:t>
            </w:r>
          </w:p>
        </w:tc>
      </w:tr>
      <w:tr>
        <w:trPr>
          <w:cantSplit/>
        </w:trPr>
        <w:tc>
          <w:tcPr>
            <w:tcW w:w="3239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Target setting</w:t>
            </w:r>
          </w:p>
        </w:tc>
        <w:tc>
          <w:tcPr>
            <w:tcW w:w="11160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Post-acquisition CatWalk XT gait analysis after T9 SCI.</w:t>
            </w:r>
          </w:p>
        </w:tc>
      </w:tr>
      <w:tr>
        <w:trPr>
          <w:cantSplit/>
        </w:trPr>
        <w:tc>
          <w:tcPr>
            <w:tcW w:w="3239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Target population</w:t>
            </w:r>
          </w:p>
        </w:tc>
        <w:tc>
          <w:tcPr>
            <w:tcW w:w="11160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Control Wistar rats from five source experiments.</w:t>
            </w:r>
          </w:p>
        </w:tc>
      </w:tr>
      <w:tr>
        <w:trPr>
          <w:cantSplit/>
        </w:trPr>
        <w:tc>
          <w:tcPr>
            <w:tcW w:w="3239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Prediction target</w:t>
            </w:r>
          </w:p>
        </w:tc>
        <w:tc>
          <w:tcPr>
            <w:tcW w:w="11160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Contemporaneous, experiment-specific Early/Middle/Late phase; IL4 day 1 is included in Early.</w:t>
            </w:r>
          </w:p>
        </w:tc>
      </w:tr>
      <w:tr>
        <w:trPr>
          <w:cantSplit/>
        </w:trPr>
        <w:tc>
          <w:tcPr>
            <w:tcW w:w="3239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Analytical dataset</w:t>
            </w:r>
          </w:p>
        </w:tc>
        <w:tc>
          <w:tcPr>
            <w:tcW w:w="11160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396 records from 115 animals: Early 175, Middle 116, Late 105.</w:t>
            </w:r>
          </w:p>
        </w:tc>
      </w:tr>
      <w:tr>
        <w:trPr>
          <w:cantSplit/>
        </w:trPr>
        <w:tc>
          <w:tcPr>
            <w:tcW w:w="3239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Predictors</w:t>
            </w:r>
          </w:p>
        </w:tc>
        <w:tc>
          <w:tcPr>
            <w:tcW w:w="11160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Prespecified 26-feature panel; timepoint, phase, animal, treatment, and experiment identifiers excluded.</w:t>
            </w:r>
          </w:p>
        </w:tc>
      </w:tr>
      <w:tr>
        <w:trPr>
          <w:cantSplit/>
        </w:trPr>
        <w:tc>
          <w:tcPr>
            <w:tcW w:w="3239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Validation approach</w:t>
            </w:r>
          </w:p>
        </w:tc>
        <w:tc>
          <w:tcPr>
            <w:tcW w:w="11160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5 × 5 animal-grouped nested cross-validation; 100-trial Optuna tuning per framework-fold.</w:t>
            </w:r>
          </w:p>
        </w:tc>
      </w:tr>
      <w:tr>
        <w:trPr>
          <w:cantSplit/>
        </w:trPr>
        <w:tc>
          <w:tcPr>
            <w:tcW w:w="3239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Main models</w:t>
            </w:r>
          </w:p>
        </w:tc>
        <w:tc>
          <w:tcPr>
            <w:tcW w:w="11160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Ordinal CatBoost, LightGBM, and XGBoost evaluated as co-equal classifiers; none was promoted over the others.</w:t>
            </w:r>
          </w:p>
        </w:tc>
      </w:tr>
      <w:tr>
        <w:trPr>
          <w:cantSplit/>
        </w:trPr>
        <w:tc>
          <w:tcPr>
            <w:tcW w:w="3239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Subsequent interpretation and ensemble analyses</w:t>
            </w:r>
          </w:p>
        </w:tc>
        <w:tc>
          <w:tcPr>
            <w:tcW w:w="11160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Cross-fitted framework-specific calibration, TreeSHAP, ablation, five-feature classifier rerun, Platt-calibrated equal-weight ensemble recovery index, and GAM surrogate.</w:t>
            </w:r>
          </w:p>
        </w:tc>
      </w:tr>
      <w:tr>
        <w:trPr>
          <w:cantSplit/>
        </w:trPr>
        <w:tc>
          <w:tcPr>
            <w:tcW w:w="3239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Intended use</w:t>
            </w:r>
          </w:p>
        </w:tc>
        <w:tc>
          <w:tcPr>
            <w:tcW w:w="11160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Internal phase-associated gait analysis under the pooled protocol; not clinical or biological-recovery measurement.</w:t>
            </w:r>
          </w:p>
        </w:tc>
      </w:tr>
      <w:tr>
        <w:trPr>
          <w:cantSplit/>
        </w:trPr>
        <w:tc>
          <w:tcPr>
            <w:tcW w:w="2950" w:type="dxa"/>
            <w:vAlign w:val="center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Domain / assessment</w:t>
            </w:r>
          </w:p>
        </w:tc>
        <w:tc>
          <w:tcPr>
            <w:tcW w:w="2521" w:type="dxa"/>
            <w:gridSpan w:val="2"/>
            <w:vAlign w:val="center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Adapted judgment</w:t>
            </w:r>
          </w:p>
        </w:tc>
        <w:tc>
          <w:tcPr>
            <w:tcW w:w="8928" w:type="dxa"/>
            <w:vAlign w:val="center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Rationale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Participants: risk of bias</w:t>
            </w:r>
          </w:p>
        </w:tc>
        <w:tc>
          <w:tcPr>
            <w:tcW w:w="2521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Low to some concern</w:t>
            </w:r>
          </w:p>
        </w:tc>
        <w:tc>
          <w:tcPr>
            <w:tcW w:w="8928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Animal-grouped nested cross-validation prevents leakage; concerns are retrospective pooling, incomplete sex/age/weight metadata, and no independent validation.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Participants: applicability</w:t>
            </w:r>
          </w:p>
        </w:tc>
        <w:tc>
          <w:tcPr>
            <w:tcW w:w="2521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Some concern</w:t>
            </w:r>
          </w:p>
        </w:tc>
        <w:tc>
          <w:tcPr>
            <w:tcW w:w="8928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Limited to control Wistar rats and the represented CatWalk SCI protocol; other settings are untested.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Predictors: risk of bias</w:t>
            </w:r>
          </w:p>
        </w:tc>
        <w:tc>
          <w:tcPr>
            <w:tcW w:w="2521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Some concern</w:t>
            </w:r>
          </w:p>
        </w:tc>
        <w:tc>
          <w:tcPr>
            <w:tcW w:w="8928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Identifiers were excluded and transformations were fold-local; overall missingness was 40.6% and varied by phase, and bilateral aggregation removed side-specific information.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Predictors: applicability</w:t>
            </w:r>
          </w:p>
        </w:tc>
        <w:tc>
          <w:tcPr>
            <w:tcW w:w="2521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Low to some concern</w:t>
            </w:r>
          </w:p>
        </w:tc>
        <w:tc>
          <w:tcPr>
            <w:tcW w:w="8928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Definitions and code are available; use requires the canonical schema and comparable acquisition/processing.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Outcome: risk of bias</w:t>
            </w:r>
          </w:p>
        </w:tc>
        <w:tc>
          <w:tcPr>
            <w:tcW w:w="2521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Some concern</w:t>
            </w:r>
          </w:p>
        </w:tc>
        <w:tc>
          <w:tcPr>
            <w:tcW w:w="8928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Timepoint mapping is deterministic, but phase is a temporal proxy without an independent biological gold standard.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Outcome: applicability</w:t>
            </w:r>
          </w:p>
        </w:tc>
        <w:tc>
          <w:tcPr>
            <w:tcW w:w="2521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Some concern</w:t>
            </w:r>
          </w:p>
        </w:tc>
        <w:tc>
          <w:tcPr>
            <w:tcW w:w="8928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Supports contemporaneous phase classification, not prognosis, treatment response, or biological recovery.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Analysis: risk of bias</w:t>
            </w:r>
          </w:p>
        </w:tc>
        <w:tc>
          <w:tcPr>
            <w:tcW w:w="2521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Low to some concern</w:t>
            </w:r>
          </w:p>
        </w:tc>
        <w:tc>
          <w:tcPr>
            <w:tcW w:w="8928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Grouped nested cross-validation, fold-local engineering, out-of-fold estimation, clustered CIs, and leakage audits; concerns are 115 animals, internal validation, and post-selection analyses.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Analysis: applicability</w:t>
            </w:r>
          </w:p>
        </w:tc>
        <w:tc>
          <w:tcPr>
            <w:tcW w:w="2521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Some concern</w:t>
            </w:r>
          </w:p>
        </w:tc>
        <w:tc>
          <w:tcPr>
            <w:tcW w:w="8928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Targets new animals under the pooled protocol; experiment-blocked validation was not used because phase support differed structurally.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Overall: risk of bias</w:t>
            </w:r>
          </w:p>
        </w:tc>
        <w:tc>
          <w:tcPr>
            <w:tcW w:w="2521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Some concern</w:t>
            </w:r>
          </w:p>
        </w:tc>
        <w:tc>
          <w:tcPr>
            <w:tcW w:w="8928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Main concerns: proxy outcome, phase-dependent missingness, and no independent validation.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Overall: applicability</w:t>
            </w:r>
          </w:p>
        </w:tc>
        <w:tc>
          <w:tcPr>
            <w:tcW w:w="2521" w:type="dxa"/>
            <w:gridSpan w:val="2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Some concern</w:t>
            </w:r>
          </w:p>
        </w:tc>
        <w:tc>
          <w:tcPr>
            <w:tcW w:w="8928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Internally validated experimental framework; not an externally deployable or biological-recovery tool.</w:t>
            </w:r>
          </w:p>
        </w:tc>
      </w:tr>
    </w:tbl>
    <w:p>
      <w:pPr>
        <w:pStyle w:val="1"/>
        <w:keepNext/>
        <w:keepLines/>
        <w:pageBreakBefore/>
        <w:jc w:val="left"/>
        <w:rPr/>
      </w:pPr>
      <w:r>
        <w:rPr>
          <w:rFonts w:ascii="Arial" w:hAnsi="Arial" w:eastAsia="Arial" w:cs="Arial"/>
        </w:rPr>
        <w:t>Checklist S3. ARRIVE 2.0 reporting checklist</w:t>
      </w:r>
    </w:p>
    <w:tbl>
      <w:tblPr>
        <w:tblStyle w:val="aff4"/>
        <w:tblW w:w="14400" w:type="dxa"/>
        <w:jc w:val="center"/>
        <w:tblInd w:w="0" w:type="dxa"/>
        <w:tblLayout w:type="fixed"/>
        <w:tblCellMar>
          <w:top w:w="40" w:type="dxa"/>
          <w:start w:w="55" w:type="dxa"/>
          <w:bottom w:w="40" w:type="dxa"/>
          <w:end w:w="55" w:type="dxa"/>
        </w:tblCellMar>
        <w:tblLook w:val="04a0" w:firstRow="1" w:noVBand="1" w:lastRow="0" w:firstColumn="1" w:lastColumn="0" w:noHBand="0"/>
      </w:tblPr>
      <w:tblGrid>
        <w:gridCol w:w="2880"/>
        <w:gridCol w:w="2376"/>
        <w:gridCol w:w="9144"/>
      </w:tblGrid>
      <w:tr>
        <w:trPr>
          <w:tblHeader w:val="true"/>
          <w:cantSplit/>
        </w:trPr>
        <w:tc>
          <w:tcPr>
            <w:tcW w:w="2880" w:type="dxa"/>
            <w:vAlign w:val="center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ARRIVE 2.0 item</w:t>
            </w:r>
          </w:p>
        </w:tc>
        <w:tc>
          <w:tcPr>
            <w:tcW w:w="2376" w:type="dxa"/>
            <w:vAlign w:val="center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Status</w:t>
            </w:r>
          </w:p>
        </w:tc>
        <w:tc>
          <w:tcPr>
            <w:tcW w:w="9144" w:type="dxa"/>
            <w:vAlign w:val="center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Location / response</w:t>
            </w:r>
          </w:p>
        </w:tc>
      </w:tr>
      <w:tr>
        <w:trPr>
          <w:cantSplit/>
        </w:trPr>
        <w:tc>
          <w:tcPr>
            <w:tcW w:w="288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Study design</w:t>
            </w:r>
          </w:p>
        </w:tc>
        <w:tc>
          <w:tcPr>
            <w:tcW w:w="237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914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Secondary analysis of control-animal CatWalk records from five experiments; models compare recovery phase, not treatments.</w:t>
            </w:r>
          </w:p>
        </w:tc>
      </w:tr>
      <w:tr>
        <w:trPr>
          <w:cantSplit/>
        </w:trPr>
        <w:tc>
          <w:tcPr>
            <w:tcW w:w="288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Sample size</w:t>
            </w:r>
          </w:p>
        </w:tc>
        <w:tc>
          <w:tcPr>
            <w:tcW w:w="237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Partly complete</w:t>
            </w:r>
          </w:p>
        </w:tc>
        <w:tc>
          <w:tcPr>
            <w:tcW w:w="914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396 records/115 animals; no prospective ML sample-size calculation; all eligible records included.</w:t>
            </w:r>
          </w:p>
        </w:tc>
      </w:tr>
      <w:tr>
        <w:trPr>
          <w:cantSplit/>
        </w:trPr>
        <w:tc>
          <w:tcPr>
            <w:tcW w:w="288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Inclusion / exclusion criteria</w:t>
            </w:r>
          </w:p>
        </w:tc>
        <w:tc>
          <w:tcPr>
            <w:tcW w:w="237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914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Excluded baseline and rows with missing fp_stand_s; retained QC-passing controls with valid animal ID and phase (Table S2).</w:t>
            </w:r>
          </w:p>
        </w:tc>
      </w:tr>
      <w:tr>
        <w:trPr>
          <w:cantSplit/>
        </w:trPr>
        <w:tc>
          <w:tcPr>
            <w:tcW w:w="288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Randomisation</w:t>
            </w:r>
          </w:p>
        </w:tc>
        <w:tc>
          <w:tcPr>
            <w:tcW w:w="237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Partly complete</w:t>
            </w:r>
          </w:p>
        </w:tc>
        <w:tc>
          <w:tcPr>
            <w:tcW w:w="914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Source treatment randomisation was unavailable and not inferred. Analytical folds used seed 0, animal grouping, and experiment-phase balancing.</w:t>
            </w:r>
          </w:p>
        </w:tc>
      </w:tr>
      <w:tr>
        <w:trPr>
          <w:cantSplit/>
        </w:trPr>
        <w:tc>
          <w:tcPr>
            <w:tcW w:w="288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Blinding / masking</w:t>
            </w:r>
          </w:p>
        </w:tc>
        <w:tc>
          <w:tcPr>
            <w:tcW w:w="237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Partly complete</w:t>
            </w:r>
          </w:p>
        </w:tc>
        <w:tc>
          <w:tcPr>
            <w:tcW w:w="914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Recovery phase was deterministic and excluded from predictors. Paw prints were automatically classified, then corrected and validated by three researchers; masking was undocumented.</w:t>
            </w:r>
          </w:p>
        </w:tc>
      </w:tr>
      <w:tr>
        <w:trPr>
          <w:cantSplit/>
        </w:trPr>
        <w:tc>
          <w:tcPr>
            <w:tcW w:w="288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Outcome measures</w:t>
            </w:r>
          </w:p>
        </w:tc>
        <w:tc>
          <w:tcPr>
            <w:tcW w:w="237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914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Classification outcome: time-defined phase; predictors: 26 engineered features. Subsequent analytical outputs are the five-feature classifier panel, equal-weight ensemble recovery index, and GAM surrogate.</w:t>
            </w:r>
          </w:p>
        </w:tc>
      </w:tr>
      <w:tr>
        <w:trPr>
          <w:cantSplit/>
        </w:trPr>
        <w:tc>
          <w:tcPr>
            <w:tcW w:w="288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Statistical / analytical methods</w:t>
            </w:r>
          </w:p>
        </w:tc>
        <w:tc>
          <w:tcPr>
            <w:tcW w:w="237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914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Animal-grouped nested cross-validation; ordinal boosted trees; clustered inference; calibration; SHAP/ablation; recovery-index and GAM analyses.</w:t>
            </w:r>
          </w:p>
        </w:tc>
      </w:tr>
      <w:tr>
        <w:trPr>
          <w:cantSplit/>
        </w:trPr>
        <w:tc>
          <w:tcPr>
            <w:tcW w:w="288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Experimental animals</w:t>
            </w:r>
          </w:p>
        </w:tc>
        <w:tc>
          <w:tcPr>
            <w:tcW w:w="237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Partly complete</w:t>
            </w:r>
          </w:p>
        </w:tc>
        <w:tc>
          <w:tcPr>
            <w:tcW w:w="914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Wistar rats aged approximately 6–8 weeks and weighing 230–265 g. Final-cohort sex and individual age/weight were unavailable.</w:t>
            </w:r>
          </w:p>
        </w:tc>
      </w:tr>
      <w:tr>
        <w:trPr>
          <w:cantSplit/>
        </w:trPr>
        <w:tc>
          <w:tcPr>
            <w:tcW w:w="288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Experimental procedures</w:t>
            </w:r>
          </w:p>
        </w:tc>
        <w:tc>
          <w:tcPr>
            <w:tcW w:w="237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Partly complete</w:t>
            </w:r>
          </w:p>
        </w:tc>
        <w:tc>
          <w:tcPr>
            <w:tcW w:w="914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Main Methods: T9 clip injury, anesthesia/support, CatWalk acclimation/acquisition, paw-print review, and schedule; unavailable details were not inferred.</w:t>
            </w:r>
          </w:p>
        </w:tc>
      </w:tr>
      <w:tr>
        <w:trPr>
          <w:cantSplit/>
        </w:trPr>
        <w:tc>
          <w:tcPr>
            <w:tcW w:w="288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Housing and husbandry</w:t>
            </w:r>
          </w:p>
        </w:tc>
        <w:tc>
          <w:tcPr>
            <w:tcW w:w="237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Partly complete</w:t>
            </w:r>
          </w:p>
        </w:tc>
        <w:tc>
          <w:tcPr>
            <w:tcW w:w="914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Group housing reported; light/dark cycle, environment, and food/water records unavailable.</w:t>
            </w:r>
          </w:p>
        </w:tc>
      </w:tr>
      <w:tr>
        <w:trPr>
          <w:cantSplit/>
        </w:trPr>
        <w:tc>
          <w:tcPr>
            <w:tcW w:w="288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Ethical statement</w:t>
            </w:r>
          </w:p>
        </w:tc>
        <w:tc>
          <w:tcPr>
            <w:tcW w:w="237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 (qualified)</w:t>
            </w:r>
          </w:p>
        </w:tc>
        <w:tc>
          <w:tcPr>
            <w:tcW w:w="914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Source documentation identifies G-211/15 under German requirements; no broader claim.</w:t>
            </w:r>
          </w:p>
        </w:tc>
      </w:tr>
      <w:tr>
        <w:trPr>
          <w:cantSplit/>
        </w:trPr>
        <w:tc>
          <w:tcPr>
            <w:tcW w:w="288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Results: numbers analysed</w:t>
            </w:r>
          </w:p>
        </w:tc>
        <w:tc>
          <w:tcPr>
            <w:tcW w:w="237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914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396 records/115 animals: Early 175 records/93 animals; Middle 116/58; Late 105/33. Phase-specific animal counts overlap.</w:t>
            </w:r>
          </w:p>
        </w:tc>
      </w:tr>
      <w:tr>
        <w:trPr>
          <w:cantSplit/>
        </w:trPr>
        <w:tc>
          <w:tcPr>
            <w:tcW w:w="288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Results: adverse events / exclusions</w:t>
            </w:r>
          </w:p>
        </w:tc>
        <w:tc>
          <w:tcPr>
            <w:tcW w:w="237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Partly complete</w:t>
            </w:r>
          </w:p>
        </w:tc>
        <w:tc>
          <w:tcPr>
            <w:tcW w:w="914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Table S2 reports QC/cohort exclusions; source adverse events were unavailable.</w:t>
            </w:r>
          </w:p>
        </w:tc>
      </w:tr>
      <w:tr>
        <w:trPr>
          <w:cantSplit/>
        </w:trPr>
        <w:tc>
          <w:tcPr>
            <w:tcW w:w="288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Interpretation / scientific implications</w:t>
            </w:r>
          </w:p>
        </w:tc>
        <w:tc>
          <w:tcPr>
            <w:tcW w:w="237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914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Outputs are phase predictions and associations, not biological recovery, causality, or treatment effects.</w:t>
            </w:r>
          </w:p>
        </w:tc>
      </w:tr>
      <w:tr>
        <w:trPr>
          <w:cantSplit/>
        </w:trPr>
        <w:tc>
          <w:tcPr>
            <w:tcW w:w="288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Generalisability / translation</w:t>
            </w:r>
          </w:p>
        </w:tc>
        <w:tc>
          <w:tcPr>
            <w:tcW w:w="237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</w:t>
            </w:r>
          </w:p>
        </w:tc>
        <w:tc>
          <w:tcPr>
            <w:tcW w:w="914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Estimand: new animals under the pooled protocol; external biological and cross-setting validation is needed.</w:t>
            </w:r>
          </w:p>
        </w:tc>
      </w:tr>
      <w:tr>
        <w:trPr>
          <w:cantSplit/>
        </w:trPr>
        <w:tc>
          <w:tcPr>
            <w:tcW w:w="288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Protocol registration</w:t>
            </w:r>
          </w:p>
        </w:tc>
        <w:tc>
          <w:tcPr>
            <w:tcW w:w="237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7E6E6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Not registered</w:t>
            </w:r>
          </w:p>
        </w:tc>
        <w:tc>
          <w:tcPr>
            <w:tcW w:w="914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No prospective registration; workflows and configurations are versioned.</w:t>
            </w:r>
          </w:p>
        </w:tc>
      </w:tr>
      <w:tr>
        <w:trPr>
          <w:cantSplit/>
        </w:trPr>
        <w:tc>
          <w:tcPr>
            <w:tcW w:w="288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Data and code availability</w:t>
            </w:r>
          </w:p>
        </w:tc>
        <w:tc>
          <w:tcPr>
            <w:tcW w:w="237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Complete (restricted)</w:t>
            </w:r>
          </w:p>
        </w:tc>
        <w:tc>
          <w:tcPr>
            <w:tcW w:w="914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Code: https://gitlab.com/sergienko.michael/sci. Aggregate outputs are available; raw and animal-level data are controlled.</w:t>
            </w:r>
          </w:p>
        </w:tc>
      </w:tr>
    </w:tbl>
    <w:p>
      <w:pPr>
        <w:pStyle w:val="1"/>
        <w:keepNext/>
        <w:keepLines/>
        <w:pageBreakBefore/>
        <w:jc w:val="left"/>
        <w:rPr/>
      </w:pPr>
      <w:r>
        <w:rPr>
          <w:rFonts w:ascii="Arial" w:hAnsi="Arial" w:eastAsia="Arial" w:cs="Arial"/>
        </w:rPr>
        <w:t>Checklist S4. Data-leakage prevention checklist</w:t>
      </w:r>
    </w:p>
    <w:tbl>
      <w:tblPr>
        <w:tblStyle w:val="aff4"/>
        <w:tblW w:w="14400" w:type="dxa"/>
        <w:jc w:val="center"/>
        <w:tblInd w:w="0" w:type="dxa"/>
        <w:tblLayout w:type="fixed"/>
        <w:tblCellMar>
          <w:top w:w="40" w:type="dxa"/>
          <w:start w:w="55" w:type="dxa"/>
          <w:bottom w:w="40" w:type="dxa"/>
          <w:end w:w="55" w:type="dxa"/>
        </w:tblCellMar>
        <w:tblLook w:val="04a0" w:firstRow="1" w:noVBand="1" w:lastRow="0" w:firstColumn="1" w:lastColumn="0" w:noHBand="0"/>
      </w:tblPr>
      <w:tblGrid>
        <w:gridCol w:w="3096"/>
        <w:gridCol w:w="2304"/>
        <w:gridCol w:w="9000"/>
      </w:tblGrid>
      <w:tr>
        <w:trPr>
          <w:tblHeader w:val="true"/>
          <w:cantSplit/>
        </w:trPr>
        <w:tc>
          <w:tcPr>
            <w:tcW w:w="3096" w:type="dxa"/>
            <w:vAlign w:val="center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Leakage-control item</w:t>
            </w:r>
          </w:p>
        </w:tc>
        <w:tc>
          <w:tcPr>
            <w:tcW w:w="2304" w:type="dxa"/>
            <w:vAlign w:val="center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Status</w:t>
            </w:r>
          </w:p>
        </w:tc>
        <w:tc>
          <w:tcPr>
            <w:tcW w:w="9000" w:type="dxa"/>
            <w:vAlign w:val="center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Implementation / evidence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Analytical unit defined before splitting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One row = one QC-retained CatWalk record.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Repeated-measures structure identified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Repeated records were clustered by animal.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Grouping variable isolated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factorized_animal was used for splitting, provenance, and inference—not as a predictor.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Outcome and time metadata excluded from X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Phase, timepoint, and cumulative-label variables were excluded.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Experiment and treatment metadata excluded from X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Experiment/group were used only for cohorting, balance, and summaries.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Frozen outer folds used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Five frozen outer folds were reused across frameworks, paired analyses, and the five-feature rerun.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Animal-level fold separation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Validated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Each animal occurred in one outer-test fold only.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Experiment-by-phase balance constrained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Experiment-phase balance was maintained where feasible subject to animal grouping.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Fixed seed and row lineage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Seed 0 and immutable row/animal provenance were stored.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Feature engineering inside pipelines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The feature transformer was fitted only on each active training partition.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Training-derived statistics isolated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Peak-loading means and SDs used training partitions only.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No full-dataset imputation or scaling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No global imputation or scaling; tree models handled missingness natively, and GAM preprocessing was fold-local.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Hyperparameter tuning nested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Optuna used grouped inner folds within each outer-training partition only.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Fold-specific final fitting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Pipelines were refitted on each outer-training partition; outer-test records were predicted once.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Performance based on OOF predictions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Performance used concatenated out-of-fold predictions.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Calibration cross-fitted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Calibrators excluded corresponding test records; the framework-specific rule retained no calibration for CatBoost.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Native TreeSHAP evaluated on held-out records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Native TreeSHAP used outer-test records; raw-margin additivity was checked.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Ablation separated from tuning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Qualified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Ablation refits used saved fold hyperparameters without re-optimization; this is a post-model diagnostic.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Post-selection panel explicitly qualified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Qualified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The five-feature panel was selected from out-of-fold evidence and underwent fresh nested cross-validation; it remains a post-selection sensitivity analysis.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Recovery index constructed from cross-fitted inputs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The ensemble index averages three Platt-calibrated five-feature scores with equal weights; each calibrator excluded the corresponding outer-test animal.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GAM target isolated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The GAM was trained to approximate the out-of-fold ensemble recovery index, not observed phase.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Full-data ensemble refits separated from evaluation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The three Platt-calibrated five-feature ensemble components were refitted after evaluation and excluded from performance estimates.</w:t>
            </w:r>
          </w:p>
        </w:tc>
      </w:tr>
      <w:tr>
        <w:trPr>
          <w:cantSplit/>
        </w:trPr>
        <w:tc>
          <w:tcPr>
            <w:tcW w:w="309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Validation claim bounded</w:t>
            </w:r>
          </w:p>
        </w:tc>
        <w:tc>
          <w:tcPr>
            <w:tcW w:w="2304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00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Claims are limited to internal animal-separated validation under the pooled protocol.</w:t>
            </w:r>
          </w:p>
        </w:tc>
      </w:tr>
    </w:tbl>
    <w:p>
      <w:pPr>
        <w:pStyle w:val="1"/>
        <w:keepNext/>
        <w:keepLines/>
        <w:pageBreakBefore/>
        <w:jc w:val="left"/>
        <w:rPr/>
      </w:pPr>
      <w:r>
        <w:rPr>
          <w:rFonts w:ascii="Arial" w:hAnsi="Arial" w:eastAsia="Arial" w:cs="Arial"/>
        </w:rPr>
        <w:t>Checklist S5. Reproducibility checklist</w:t>
      </w:r>
    </w:p>
    <w:tbl>
      <w:tblPr>
        <w:tblStyle w:val="aff4"/>
        <w:tblW w:w="14399" w:type="dxa"/>
        <w:jc w:val="center"/>
        <w:tblInd w:w="0" w:type="dxa"/>
        <w:tblLayout w:type="fixed"/>
        <w:tblCellMar>
          <w:top w:w="40" w:type="dxa"/>
          <w:start w:w="55" w:type="dxa"/>
          <w:bottom w:w="40" w:type="dxa"/>
          <w:end w:w="55" w:type="dxa"/>
        </w:tblCellMar>
        <w:tblLook w:val="04a0" w:firstRow="1" w:noVBand="1" w:lastRow="0" w:firstColumn="1" w:lastColumn="0" w:noHBand="0"/>
      </w:tblPr>
      <w:tblGrid>
        <w:gridCol w:w="2950"/>
        <w:gridCol w:w="2233"/>
        <w:gridCol w:w="9216"/>
      </w:tblGrid>
      <w:tr>
        <w:trPr>
          <w:tblHeader w:val="true"/>
          <w:cantSplit/>
        </w:trPr>
        <w:tc>
          <w:tcPr>
            <w:tcW w:w="2950" w:type="dxa"/>
            <w:vAlign w:val="center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Reproducibility item</w:t>
            </w:r>
          </w:p>
        </w:tc>
        <w:tc>
          <w:tcPr>
            <w:tcW w:w="2233" w:type="dxa"/>
            <w:vAlign w:val="center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Status</w:t>
            </w:r>
          </w:p>
        </w:tc>
        <w:tc>
          <w:tcPr>
            <w:tcW w:w="9216" w:type="dxa"/>
            <w:vAlign w:val="center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D9EAF7"/>
          </w:tcPr>
          <w:p>
            <w:pPr>
              <w:keepLines/>
              <w:spacing w:before="0" w:after="0" w:line="240" w:lineRule="auto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Evidence / artifact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Software environment</w:t>
            </w:r>
          </w:p>
        </w:tc>
        <w:tc>
          <w:tcPr>
            <w:tcW w:w="223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2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Python 3.10.8; exact package versions are reported in Supplementary Table S18.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Dependency specification</w:t>
            </w:r>
          </w:p>
        </w:tc>
        <w:tc>
          <w:tcPr>
            <w:tcW w:w="223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2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Versioned project metadata and dependency lock.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Random seeds</w:t>
            </w:r>
          </w:p>
        </w:tc>
        <w:tc>
          <w:tcPr>
            <w:tcW w:w="223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2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Base seed 0; derived seeds and framework parameters stored.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Code availability</w:t>
            </w:r>
          </w:p>
        </w:tc>
        <w:tc>
          <w:tcPr>
            <w:tcW w:w="223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2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Repository: https://gitlab.com/sergienko.michael/sci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Source provenance</w:t>
            </w:r>
          </w:p>
        </w:tc>
        <w:tc>
          <w:tcPr>
            <w:tcW w:w="223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2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Workflow 00 manifest: five source experiments, row IDs, and hashes.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Configurations and run manifests</w:t>
            </w:r>
          </w:p>
        </w:tc>
        <w:tc>
          <w:tcPr>
            <w:tcW w:w="223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2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Each workflow records configuration, lineage, hashes, versions, seeds, counts, and status.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Cohort and lineage validation</w:t>
            </w:r>
          </w:p>
        </w:tc>
        <w:tc>
          <w:tcPr>
            <w:tcW w:w="223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2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Automated checks cover schema, provenance, row coverage, and reference counts.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Feature definitions</w:t>
            </w:r>
          </w:p>
        </w:tc>
        <w:tc>
          <w:tcPr>
            <w:tcW w:w="223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2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Supplementary Methods S3; Tables S4-S5: 19 inputs, aggregation, 26 formulas, epsilon, and fold statistics.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Fold assignments</w:t>
            </w:r>
          </w:p>
        </w:tc>
        <w:tc>
          <w:tcPr>
            <w:tcW w:w="223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2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Frozen animal-grouped fold assignments and summaries retained.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Optimization records</w:t>
            </w:r>
          </w:p>
        </w:tc>
        <w:tc>
          <w:tcPr>
            <w:tcW w:w="223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2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Optuna SQLite studies, trial histories, and best fold parameters retained.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Model and prediction artifacts</w:t>
            </w:r>
          </w:p>
        </w:tc>
        <w:tc>
          <w:tcPr>
            <w:tcW w:w="223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2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Fold models, out-of-fold probabilities, metrics, calibration/confusion outputs, and validation checks retained.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Interpretability artifacts</w:t>
            </w:r>
          </w:p>
        </w:tc>
        <w:tc>
          <w:tcPr>
            <w:tcW w:w="223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2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TreeSHAP/additivity, ablation predictions, consensus ranks, and correlations retained.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Five-feature panel and calibration artifacts</w:t>
            </w:r>
          </w:p>
        </w:tc>
        <w:tc>
          <w:tcPr>
            <w:tcW w:w="223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2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Five-feature definition, fresh nested cross-validation predictions, Platt outputs, and 26-versus-five-feature comparisons retained.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Recovery index and GAM artifacts</w:t>
            </w:r>
          </w:p>
        </w:tc>
        <w:tc>
          <w:tcPr>
            <w:tcW w:w="223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2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Framework/ensemble recovery indices, cross-fitted predictions, GAM, and fidelity metrics retained.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Classifier-ensemble artifact</w:t>
            </w:r>
          </w:p>
        </w:tc>
        <w:tc>
          <w:tcPr>
            <w:tcW w:w="223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2F0D9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Yes</w:t>
            </w:r>
          </w:p>
        </w:tc>
        <w:tc>
          <w:tcPr>
            <w:tcW w:w="92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The ensemble bundle contains all three Platt-calibrated five-feature components, equal one-third weights, schema metadata, a SHA-256 manifest, and a validated loader.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Data availability</w:t>
            </w:r>
          </w:p>
        </w:tc>
        <w:tc>
          <w:tcPr>
            <w:tcW w:w="223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Restricted</w:t>
            </w:r>
          </w:p>
        </w:tc>
        <w:tc>
          <w:tcPr>
            <w:tcW w:w="92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Aggregate outputs available; raw and animal-level data controlled.</w:t>
            </w:r>
          </w:p>
        </w:tc>
      </w:tr>
      <w:tr>
        <w:trPr>
          <w:cantSplit/>
        </w:trPr>
        <w:tc>
          <w:tcPr>
            <w:tcW w:w="2950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EEF5FA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External validation status</w:t>
            </w:r>
          </w:p>
        </w:tc>
        <w:tc>
          <w:tcPr>
            <w:tcW w:w="2233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  <w:shd w:val="clear" w:color="auto" w:fill="FFF2CC"/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b/>
                <w:sz w:val="15"/>
              </w:rPr>
              <w:t>Internal only</w:t>
            </w:r>
          </w:p>
        </w:tc>
        <w:tc>
          <w:tcPr>
            <w:tcW w:w="9216" w:type="dxa"/>
            <w:vAlign w:val="top"/>
            <w:tcMar>
              <w:top w:w="60" w:type="dxa"/>
              <w:bottom w:w="60" w:type="dxa"/>
              <w:start w:w="80" w:type="dxa"/>
              <w:end w:w="80" w:type="dxa"/>
            </w:tcMar>
          </w:tcPr>
          <w:p>
            <w:pPr>
              <w:keepLines/>
              <w:spacing w:lineRule="auto" w:line="240" w:before="0" w:after="0"/>
              <w:jc w:val="left"/>
              <w:rPr/>
            </w:pPr>
            <w:r>
              <w:rPr>
                <w:rFonts w:ascii="Arial" w:hAnsi="Arial" w:eastAsia="Arial" w:cs="Arial"/>
                <w:sz w:val="15"/>
              </w:rPr>
              <w:t>No external dataset; claims are limited accordingly.</w:t>
            </w:r>
          </w:p>
        </w:tc>
      </w:tr>
    </w:tbl>
    <w:p>
      <w:pPr>
        <w:pStyle w:val="ChecklistSpacer"/>
        <w:pageBreakBefore w:val="0"/>
        <w:widowControl/>
        <w:bidi w:val="0"/>
        <w:spacing w:lineRule="auto" w:line="276" w:before="0" w:after="0"/>
        <w:jc w:val="start"/>
        <w:rPr/>
      </w:pPr>
      <w:r>
        <w:rPr/>
        <w:t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5840" w:h="12240"/>
      <w:pgMar w:left="720" w:right="720" w:gutter="0" w:header="432" w:top="720" w:footer="432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ourier">
    <w:altName w:val="Courier New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spacing w:before="0" w:after="0" w:line="240" w:lineRule="auto"/>
      <w:jc w:val="center"/>
      <w:rPr/>
    </w:pPr>
    <w:r>
      <w:rPr>
        <w:rFonts w:ascii="Arial" w:hAnsi="Arial" w:eastAsia="Arial" w:cs="Arial"/>
        <w:sz w:val="18"/>
      </w:rPr>
      <w:t xml:space="preserve">Page </w:t>
    </w:r>
    <w:r>
      <w:rPr>
        <w:rFonts w:ascii="Arial" w:hAnsi="Arial" w:eastAsia="Arial" w:cs="Arial"/>
        <w:sz w:val="18"/>
      </w:rPr>
      <w:fldChar w:fldCharType="begin"/>
    </w:r>
    <w:r>
      <w:rPr>
        <w:rFonts w:ascii="Arial" w:hAnsi="Arial" w:eastAsia="Arial" w:cs="Arial"/>
        <w:sz w:val="18"/>
      </w:rPr>
      <w:instrText xml:space="preserve"> PAGE </w:instrText>
    </w:r>
    <w:r>
      <w:rPr>
        <w:rFonts w:ascii="Arial" w:hAnsi="Arial" w:eastAsia="Arial" w:cs="Arial"/>
        <w:sz w:val="18"/>
      </w:rPr>
      <w:fldChar w:fldCharType="separate"/>
    </w:r>
    <w:r>
      <w:rPr>
        <w:rFonts w:ascii="Arial" w:hAnsi="Arial" w:eastAsia="Arial" w:cs="Arial"/>
        <w:sz w:val="18"/>
      </w:rPr>
      <w:t>8</w:t>
    </w:r>
    <w:r>
      <w:rPr>
        <w:rFonts w:ascii="Arial" w:hAnsi="Arial" w:eastAsia="Arial" w:cs="Arial"/>
        <w:sz w:val="18"/>
      </w:rPr>
      <w:fldChar w:fldCharType="end"/>
    </w:r>
    <w:r>
      <w:rPr>
        <w:rFonts w:ascii="Arial" w:hAnsi="Arial" w:eastAsia="Arial" w:cs="Arial"/>
        <w:sz w:val="18"/>
      </w:rPr>
      <w:t xml:space="preserve"> of </w:t>
    </w:r>
    <w:r>
      <w:rPr>
        <w:rFonts w:ascii="Arial" w:hAnsi="Arial" w:eastAsia="Arial" w:cs="Arial"/>
        <w:sz w:val="18"/>
      </w:rPr>
      <w:fldChar w:fldCharType="begin"/>
    </w:r>
    <w:r>
      <w:rPr>
        <w:rFonts w:ascii="Arial" w:hAnsi="Arial" w:eastAsia="Arial" w:cs="Arial"/>
        <w:sz w:val="18"/>
      </w:rPr>
      <w:instrText xml:space="preserve"> NUMPAGES </w:instrText>
    </w:r>
    <w:r>
      <w:rPr>
        <w:rFonts w:ascii="Arial" w:hAnsi="Arial" w:eastAsia="Arial" w:cs="Arial"/>
        <w:sz w:val="18"/>
      </w:rPr>
      <w:fldChar w:fldCharType="separate"/>
    </w:r>
    <w:r>
      <w:rPr>
        <w:rFonts w:ascii="Arial" w:hAnsi="Arial" w:eastAsia="Arial" w:cs="Arial"/>
        <w:sz w:val="18"/>
      </w:rPr>
      <w:t>8</w:t>
    </w:r>
    <w:r>
      <w:rPr>
        <w:rFonts w:ascii="Arial" w:hAnsi="Arial" w:eastAsia="Arial" w:cs="Arial"/>
        <w:sz w:val="18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spacing w:before="0" w:after="0" w:line="240" w:lineRule="auto"/>
      <w:jc w:val="center"/>
      <w:rPr/>
    </w:pPr>
    <w:r>
      <w:rPr>
        <w:rFonts w:ascii="Arial" w:hAnsi="Arial" w:eastAsia="Arial" w:cs="Arial"/>
        <w:sz w:val="18"/>
      </w:rPr>
      <w:t xml:space="preserve">Page </w:t>
    </w:r>
    <w:r>
      <w:rPr>
        <w:rFonts w:ascii="Arial" w:hAnsi="Arial" w:eastAsia="Arial" w:cs="Arial"/>
        <w:sz w:val="18"/>
      </w:rPr>
      <w:fldChar w:fldCharType="begin"/>
    </w:r>
    <w:r>
      <w:rPr>
        <w:rFonts w:ascii="Arial" w:hAnsi="Arial" w:eastAsia="Arial" w:cs="Arial"/>
        <w:sz w:val="18"/>
      </w:rPr>
      <w:instrText xml:space="preserve"> PAGE </w:instrText>
    </w:r>
    <w:r>
      <w:rPr>
        <w:rFonts w:ascii="Arial" w:hAnsi="Arial" w:eastAsia="Arial" w:cs="Arial"/>
        <w:sz w:val="18"/>
      </w:rPr>
      <w:fldChar w:fldCharType="separate"/>
    </w:r>
    <w:r>
      <w:rPr>
        <w:rFonts w:ascii="Arial" w:hAnsi="Arial" w:eastAsia="Arial" w:cs="Arial"/>
        <w:sz w:val="18"/>
      </w:rPr>
      <w:t>8</w:t>
    </w:r>
    <w:r>
      <w:rPr>
        <w:rFonts w:ascii="Arial" w:hAnsi="Arial" w:eastAsia="Arial" w:cs="Arial"/>
        <w:sz w:val="18"/>
      </w:rPr>
      <w:fldChar w:fldCharType="end"/>
    </w:r>
    <w:r>
      <w:rPr>
        <w:rFonts w:ascii="Arial" w:hAnsi="Arial" w:eastAsia="Arial" w:cs="Arial"/>
        <w:sz w:val="18"/>
      </w:rPr>
      <w:t xml:space="preserve"> of </w:t>
    </w:r>
    <w:r>
      <w:rPr>
        <w:rFonts w:ascii="Arial" w:hAnsi="Arial" w:eastAsia="Arial" w:cs="Arial"/>
        <w:sz w:val="18"/>
      </w:rPr>
      <w:fldChar w:fldCharType="begin"/>
    </w:r>
    <w:r>
      <w:rPr>
        <w:rFonts w:ascii="Arial" w:hAnsi="Arial" w:eastAsia="Arial" w:cs="Arial"/>
        <w:sz w:val="18"/>
      </w:rPr>
      <w:instrText xml:space="preserve"> NUMPAGES </w:instrText>
    </w:r>
    <w:r>
      <w:rPr>
        <w:rFonts w:ascii="Arial" w:hAnsi="Arial" w:eastAsia="Arial" w:cs="Arial"/>
        <w:sz w:val="18"/>
      </w:rPr>
      <w:fldChar w:fldCharType="separate"/>
    </w:r>
    <w:r>
      <w:rPr>
        <w:rFonts w:ascii="Arial" w:hAnsi="Arial" w:eastAsia="Arial" w:cs="Arial"/>
        <w:sz w:val="18"/>
      </w:rPr>
      <w:t>8</w:t>
    </w:r>
    <w:r>
      <w:rPr>
        <w:rFonts w:ascii="Arial" w:hAnsi="Arial" w:eastAsia="Arial" w:cs="Arial"/>
        <w:sz w:val="18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spacing w:before="0" w:after="0" w:line="240" w:lineRule="auto"/>
      <w:jc w:val="center"/>
      <w:rPr/>
    </w:pPr>
    <w:r>
      <w:rPr>
        <w:rFonts w:ascii="Times New Roman" w:hAnsi="Times New Roman" w:eastAsia="Times New Roman" w:cs="Times New Roman"/>
        <w:sz w:val="18"/>
      </w:rPr>
      <w:t xml:space="preserve">Page </w:t>
    </w:r>
    <w:r>
      <w:rPr>
        <w:rFonts w:ascii="Times New Roman" w:hAnsi="Times New Roman" w:eastAsia="Times New Roman" w:cs="Times New Roman"/>
        <w:sz w:val="18"/>
      </w:rPr>
      <w:fldChar w:fldCharType="begin"/>
    </w:r>
    <w:r>
      <w:rPr>
        <w:rFonts w:ascii="Times New Roman" w:hAnsi="Times New Roman" w:eastAsia="Times New Roman" w:cs="Times New Roman"/>
        <w:sz w:val="18"/>
      </w:rPr>
      <w:instrText xml:space="preserve"> PAGE </w:instrText>
    </w:r>
    <w:r>
      <w:rPr>
        <w:rFonts w:ascii="Times New Roman" w:hAnsi="Times New Roman" w:eastAsia="Times New Roman" w:cs="Times New Roman"/>
        <w:sz w:val="18"/>
      </w:rPr>
      <w:fldChar w:fldCharType="separate"/>
    </w:r>
    <w:r>
      <w:rPr>
        <w:rFonts w:ascii="Times New Roman" w:hAnsi="Times New Roman" w:eastAsia="Times New Roman" w:cs="Times New Roman"/>
        <w:sz w:val="18"/>
      </w:rPr>
      <w:t>8</w:t>
    </w:r>
    <w:r>
      <w:rPr>
        <w:rFonts w:ascii="Times New Roman" w:hAnsi="Times New Roman" w:eastAsia="Times New Roman" w:cs="Times New Roman"/>
        <w:sz w:val="18"/>
      </w:rPr>
      <w:fldChar w:fldCharType="end"/>
    </w:r>
    <w:r>
      <w:rPr>
        <w:rFonts w:ascii="Times New Roman" w:hAnsi="Times New Roman" w:eastAsia="Times New Roman" w:cs="Times New Roman"/>
        <w:sz w:val="18"/>
      </w:rPr>
      <w:t xml:space="preserve"> of </w:t>
    </w:r>
    <w:r>
      <w:rPr>
        <w:rFonts w:ascii="Times New Roman" w:hAnsi="Times New Roman" w:eastAsia="Times New Roman" w:cs="Times New Roman"/>
        <w:sz w:val="18"/>
      </w:rPr>
      <w:fldChar w:fldCharType="begin"/>
    </w:r>
    <w:r>
      <w:rPr>
        <w:rFonts w:ascii="Times New Roman" w:hAnsi="Times New Roman" w:eastAsia="Times New Roman" w:cs="Times New Roman"/>
        <w:sz w:val="18"/>
      </w:rPr>
      <w:instrText xml:space="preserve"> NUMPAGES </w:instrText>
    </w:r>
    <w:r>
      <w:rPr>
        <w:rFonts w:ascii="Times New Roman" w:hAnsi="Times New Roman" w:eastAsia="Times New Roman" w:cs="Times New Roman"/>
        <w:sz w:val="18"/>
      </w:rPr>
      <w:fldChar w:fldCharType="separate"/>
    </w:r>
    <w:r>
      <w:rPr>
        <w:rFonts w:ascii="Times New Roman" w:hAnsi="Times New Roman" w:eastAsia="Times New Roman" w:cs="Times New Roman"/>
        <w:sz w:val="18"/>
      </w:rPr>
      <w:t>8</w:t>
    </w:r>
    <w:r>
      <w:rPr>
        <w:rFonts w:ascii="Times New Roman" w:hAnsi="Times New Roman" w:eastAsia="Times New Roman" w:cs="Times New Roman"/>
        <w:sz w:val="18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rFonts w:ascii="Arial" w:hAnsi="Arial"/>
        <w:b/>
        <w:color w:val="2F75B5"/>
        <w:sz w:val="14"/>
      </w:rPr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rFonts w:ascii="Arial" w:hAnsi="Arial"/>
        <w:b/>
        <w:color w:val="2F75B5"/>
        <w:sz w:val="14"/>
      </w:rPr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rFonts w:ascii="Arial" w:hAnsi="Arial"/>
        <w:b/>
        <w:color w:val="2F75B5"/>
        <w:sz w:val="14"/>
      </w:rPr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evenAndOddHeaders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100" w:line="264" w:lineRule="auto"/>
    </w:pPr>
    <w:rPr>
      <w:rFonts w:ascii="Times New Roman" w:eastAsia="Times New Roman" w:hAnsi="Times New Roman" w:cs="Times New Roman"/>
      <w:sz w:val="22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00" w:after="100"/>
      <w:jc w:val="left"/>
      <w:outlineLvl w:val="0"/>
    </w:pPr>
    <w:rPr>
      <w:rFonts w:ascii="Calibri" w:hAnsi="Calibri" w:eastAsia="Calibri" w:cs="Calibri"/>
      <w:b/>
      <w:bCs/>
      <w:color w:val="2F5B7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6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Arial"/>
    </w:rPr>
  </w:style>
  <w:style w:type="paragraph" w:styleId="Style7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aa">
    <w:name w:val="Title"/>
    <w:basedOn w:val="a1"/>
    <w:next w:val="ae"/>
    <w:link w:val="a9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 w:after="160"/>
      <w:contextualSpacing/>
      <w:jc w:val="center"/>
    </w:pPr>
    <w:rPr>
      <w:rFonts w:ascii="Calibri" w:hAnsi="Calibri" w:eastAsia="Calibri" w:cs="Calibri"/>
      <w:b/>
      <w:color w:val="2F5B7E"/>
      <w:spacing w:val="5"/>
      <w:kern w:val="2"/>
      <w:sz w:val="3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6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6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6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6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6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6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6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6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6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ChecklistSubtitle" w:customStyle="1">
    <w:name w:val="Checklist Subtitle"/>
    <w:qFormat/>
    <w:pPr>
      <w:widowControl/>
      <w:bidi w:val="0"/>
      <w:spacing w:lineRule="auto" w:line="276" w:before="0" w:after="140"/>
      <w:jc w:val="start"/>
    </w:pPr>
    <w:rPr>
      <w:rFonts w:ascii="Arial" w:hAnsi="Arial" w:eastAsia="Arial" w:cs=""/>
      <w:i/>
      <w:color w:val="666666"/>
      <w:kern w:val="0"/>
      <w:sz w:val="21"/>
      <w:szCs w:val="22"/>
      <w:lang w:val="en-US" w:eastAsia="en-US" w:bidi="ar-SA"/>
    </w:rPr>
  </w:style>
  <w:style w:type="paragraph" w:styleId="ChecklistNote" w:customStyle="1">
    <w:name w:val="Checklist Note"/>
    <w:qFormat/>
    <w:pPr>
      <w:widowControl/>
      <w:bidi w:val="0"/>
      <w:spacing w:lineRule="auto" w:line="276" w:before="0" w:after="100"/>
      <w:jc w:val="left"/>
    </w:pPr>
    <w:rPr>
      <w:rFonts w:ascii="Times New Roman" w:hAnsi="Times New Roman" w:eastAsia="Times New Roman" w:cs="Times New Roman"/>
      <w:color w:val="505050"/>
      <w:kern w:val="0"/>
      <w:sz w:val="17"/>
      <w:szCs w:val="22"/>
      <w:lang w:val="en-US" w:eastAsia="en-US" w:bidi="ar-SA"/>
    </w:rPr>
  </w:style>
  <w:style w:type="numbering" w:styleId="Style8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3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pplementSubtitle">
    <w:name w:val="Supplement Subtitle"/>
    <w:basedOn w:val="a1"/>
    <w:pPr>
      <w:keepNext/>
      <w:spacing w:before="0" w:after="200" w:line="240" w:lineRule="auto"/>
      <w:jc w:val="center"/>
    </w:pPr>
    <w:rPr>
      <w:rFonts w:ascii="Times New Roman" w:hAnsi="Times New Roman" w:eastAsia="Times New Roman" w:cs="Times New Roman"/>
      <w:i/>
      <w:color w:val="666666"/>
      <w:sz w:val="20"/>
    </w:rPr>
  </w:style>
  <w:style w:type="paragraph" w:customStyle="1" w:styleId="ChecklistSpacer">
    <w:name w:val="Checklist Spacer"/>
    <w:basedOn w:val="a1"/>
    <w:pPr>
      <w:spacing w:before="0" w:after="0" w:line="240" w:lineRule="auto"/>
    </w:pPr>
    <w:rPr>
      <w:rFonts w:ascii="Times New Roman" w:hAnsi="Times New Roman" w:eastAsia="Times New Roman" w:cs="Times New Roman"/>
      <w:sz w:val="2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