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80"/>
        <w:jc w:val="center"/>
      </w:pPr>
      <w:r>
        <w:rPr>
          <w:rFonts w:ascii="Arial" w:hAnsi="Arial"/>
          <w:b/>
          <w:i w:val="0"/>
          <w:color w:val="1F4E79"/>
          <w:sz w:val="32"/>
        </w:rPr>
        <w:t>Supplementary Figures</w:t>
      </w:r>
    </w:p>
    <w:p>
      <w:pPr>
        <w:spacing w:after="80"/>
        <w:jc w:val="center"/>
      </w:pPr>
      <w:r>
        <w:rPr>
          <w:rFonts w:ascii="Arial" w:hAnsi="Arial"/>
          <w:b w:val="0"/>
          <w:i w:val="0"/>
          <w:color w:val="666666"/>
          <w:sz w:val="17"/>
        </w:rPr>
        <w:t>Interpretable machine learning for classifying time-defined post-injury recovery stage from gait data after spinal cord injury</w:t>
      </w:r>
    </w:p>
    <w:p>
      <w:pPr>
        <w:spacing w:after="120"/>
        <w:jc w:val="center"/>
      </w:pPr>
      <w:r>
        <w:rPr>
          <w:rFonts w:ascii="Arial" w:hAnsi="Arial"/>
          <w:b w:val="0"/>
          <w:i/>
          <w:color w:val="666666"/>
          <w:sz w:val="15"/>
        </w:rPr>
        <w:t>Canonical Workflow 00-15 outputs. Unless otherwise stated, figures use 396 records from 115 animals and strictly out-of-fold predictions.</w:t>
      </w:r>
    </w:p>
    <w:p>
      <w:pPr>
        <w:pStyle w:val="Heading1"/>
        <w:keepNext/>
      </w:pPr>
      <w:r>
        <w:t>Supplementary Figure S1A. Pooled out-of-fold ROC curve: Early boundary</w:t>
      </w:r>
    </w:p>
    <w:p>
      <w:pPr>
        <w:keepNext/>
        <w:spacing w:after="80"/>
        <w:jc w:val="center"/>
      </w:pPr>
      <w:r>
        <w:drawing>
          <wp:inline xmlns:a="http://schemas.openxmlformats.org/drawingml/2006/main" xmlns:pic="http://schemas.openxmlformats.org/drawingml/2006/picture">
            <wp:extent cx="5806440" cy="4976948"/>
            <wp:docPr id="1" name="Picture 1" descr="Supplementary Figure S1A. Pooled out-of-fold ROC curve: Early boundary" title="Supplementary Figure S1A. Pooled out-of-fold ROC curve: Early boundary"/>
            <wp:cNvGraphicFramePr>
              <a:graphicFrameLocks noChangeAspect="1"/>
            </wp:cNvGraphicFramePr>
            <a:graphic>
              <a:graphicData uri="http://schemas.openxmlformats.org/drawingml/2006/picture">
                <pic:pic>
                  <pic:nvPicPr>
                    <pic:cNvPr id="0" name="S01A_roc_gt_early.png"/>
                    <pic:cNvPicPr/>
                  </pic:nvPicPr>
                  <pic:blipFill>
                    <a:blip r:embed="rId10"/>
                    <a:stretch>
                      <a:fillRect/>
                    </a:stretch>
                  </pic:blipFill>
                  <pic:spPr>
                    <a:xfrm>
                      <a:off x="0" y="0"/>
                      <a:ext cx="5806440" cy="4976948"/>
                    </a:xfrm>
                    <a:prstGeom prst="rect"/>
                  </pic:spPr>
                </pic:pic>
              </a:graphicData>
            </a:graphic>
          </wp:inline>
        </w:drawing>
      </w:r>
    </w:p>
    <w:p>
      <w:pPr>
        <w:keepLines/>
        <w:spacing w:before="40" w:after="0"/>
      </w:pPr>
      <w:r>
        <w:rPr>
          <w:rFonts w:ascii="Arial" w:hAnsi="Arial"/>
          <w:b w:val="0"/>
          <w:i w:val="0"/>
          <w:sz w:val="17"/>
        </w:rPr>
        <w:t>The cumulative Early boundary treated Middle/Late as the event and Early as the reference. Every record was predicted once by a model that had not been trained on that animal. AUROC was 0.871 for CatBoost, 0.859 for LightGBM, and 0.852 for XGBoost. The red dashed line denotes no discrimination.</w:t>
      </w:r>
    </w:p>
    <w:p>
      <w:r>
        <w:br w:type="page"/>
      </w:r>
    </w:p>
    <w:p>
      <w:pPr>
        <w:pStyle w:val="Heading1"/>
        <w:keepNext/>
      </w:pPr>
      <w:r>
        <w:t>Supplementary Figure S1B. Pooled out-of-fold ROC curve: Late boundary</w:t>
      </w:r>
    </w:p>
    <w:p>
      <w:pPr>
        <w:keepNext/>
        <w:spacing w:after="80"/>
        <w:jc w:val="center"/>
      </w:pPr>
      <w:r>
        <w:drawing>
          <wp:inline xmlns:a="http://schemas.openxmlformats.org/drawingml/2006/main" xmlns:pic="http://schemas.openxmlformats.org/drawingml/2006/picture">
            <wp:extent cx="5806440" cy="4976948"/>
            <wp:docPr id="2" name="Picture 2" descr="Supplementary Figure S1B. Pooled out-of-fold ROC curve: Late boundary" title="Supplementary Figure S1B. Pooled out-of-fold ROC curve: Late boundary"/>
            <wp:cNvGraphicFramePr>
              <a:graphicFrameLocks noChangeAspect="1"/>
            </wp:cNvGraphicFramePr>
            <a:graphic>
              <a:graphicData uri="http://schemas.openxmlformats.org/drawingml/2006/picture">
                <pic:pic>
                  <pic:nvPicPr>
                    <pic:cNvPr id="0" name="S01B_roc_gt_late.png"/>
                    <pic:cNvPicPr/>
                  </pic:nvPicPr>
                  <pic:blipFill>
                    <a:blip r:embed="rId11"/>
                    <a:stretch>
                      <a:fillRect/>
                    </a:stretch>
                  </pic:blipFill>
                  <pic:spPr>
                    <a:xfrm>
                      <a:off x="0" y="0"/>
                      <a:ext cx="5806440" cy="4976948"/>
                    </a:xfrm>
                    <a:prstGeom prst="rect"/>
                  </pic:spPr>
                </pic:pic>
              </a:graphicData>
            </a:graphic>
          </wp:inline>
        </w:drawing>
      </w:r>
    </w:p>
    <w:p>
      <w:pPr>
        <w:keepLines/>
        <w:spacing w:before="40" w:after="0"/>
      </w:pPr>
      <w:r>
        <w:rPr>
          <w:rFonts w:ascii="Arial" w:hAnsi="Arial"/>
          <w:b w:val="0"/>
          <w:i w:val="0"/>
          <w:sz w:val="17"/>
        </w:rPr>
        <w:t>The cumulative Late boundary treated Late as the event and Early/Middle as the reference. AUROC was 0.852 for CatBoost, 0.830 for LightGBM, and 0.817 for XGBoost. Curves concatenate the five mutually exclusive animal-grouped outer test folds.</w:t>
      </w:r>
    </w:p>
    <w:p>
      <w:r>
        <w:br w:type="page"/>
      </w:r>
    </w:p>
    <w:p>
      <w:pPr>
        <w:pStyle w:val="Heading1"/>
        <w:keepNext/>
      </w:pPr>
      <w:r>
        <w:t>Supplementary Figure S2A. Pooled out-of-fold calibration: Early boundary</w:t>
      </w:r>
    </w:p>
    <w:p>
      <w:pPr>
        <w:keepNext/>
        <w:spacing w:after="80"/>
        <w:jc w:val="center"/>
      </w:pPr>
      <w:r>
        <w:drawing>
          <wp:inline xmlns:a="http://schemas.openxmlformats.org/drawingml/2006/main" xmlns:pic="http://schemas.openxmlformats.org/drawingml/2006/picture">
            <wp:extent cx="5806440" cy="4976948"/>
            <wp:docPr id="3" name="Picture 3" descr="Supplementary Figure S2A. Pooled out-of-fold calibration: Early boundary" title="Supplementary Figure S2A. Pooled out-of-fold calibration: Early boundary"/>
            <wp:cNvGraphicFramePr>
              <a:graphicFrameLocks noChangeAspect="1"/>
            </wp:cNvGraphicFramePr>
            <a:graphic>
              <a:graphicData uri="http://schemas.openxmlformats.org/drawingml/2006/picture">
                <pic:pic>
                  <pic:nvPicPr>
                    <pic:cNvPr id="0" name="S02A_calibration_gt_early.png"/>
                    <pic:cNvPicPr/>
                  </pic:nvPicPr>
                  <pic:blipFill>
                    <a:blip r:embed="rId12"/>
                    <a:stretch>
                      <a:fillRect/>
                    </a:stretch>
                  </pic:blipFill>
                  <pic:spPr>
                    <a:xfrm>
                      <a:off x="0" y="0"/>
                      <a:ext cx="5806440" cy="4976948"/>
                    </a:xfrm>
                    <a:prstGeom prst="rect"/>
                  </pic:spPr>
                </pic:pic>
              </a:graphicData>
            </a:graphic>
          </wp:inline>
        </w:drawing>
      </w:r>
    </w:p>
    <w:p>
      <w:pPr>
        <w:keepLines/>
        <w:spacing w:before="40" w:after="0"/>
      </w:pPr>
      <w:r>
        <w:rPr>
          <w:rFonts w:ascii="Arial" w:hAnsi="Arial"/>
          <w:b w:val="0"/>
          <w:i w:val="0"/>
          <w:sz w:val="17"/>
        </w:rPr>
        <w:t>Observed Middle/Late event proportions are plotted against mean uncalibrated predicted probabilities within probability bins. The dashed line denotes perfect calibration. These are descriptive pooled OOF curves for all three 26-feature classifiers; calibration methods were evaluated separately within each framework using cross-fitted calibrators.</w:t>
      </w:r>
    </w:p>
    <w:p>
      <w:r>
        <w:br w:type="page"/>
      </w:r>
    </w:p>
    <w:p>
      <w:pPr>
        <w:pStyle w:val="Heading1"/>
        <w:keepNext/>
      </w:pPr>
      <w:r>
        <w:t>Supplementary Figure S2B. Pooled out-of-fold calibration: Late boundary</w:t>
      </w:r>
    </w:p>
    <w:p>
      <w:pPr>
        <w:keepNext/>
        <w:spacing w:after="80"/>
        <w:jc w:val="center"/>
      </w:pPr>
      <w:r>
        <w:drawing>
          <wp:inline xmlns:a="http://schemas.openxmlformats.org/drawingml/2006/main" xmlns:pic="http://schemas.openxmlformats.org/drawingml/2006/picture">
            <wp:extent cx="5806440" cy="4976948"/>
            <wp:docPr id="4" name="Picture 4" descr="Supplementary Figure S2B. Pooled out-of-fold calibration: Late boundary" title="Supplementary Figure S2B. Pooled out-of-fold calibration: Late boundary"/>
            <wp:cNvGraphicFramePr>
              <a:graphicFrameLocks noChangeAspect="1"/>
            </wp:cNvGraphicFramePr>
            <a:graphic>
              <a:graphicData uri="http://schemas.openxmlformats.org/drawingml/2006/picture">
                <pic:pic>
                  <pic:nvPicPr>
                    <pic:cNvPr id="0" name="S02B_calibration_gt_late.png"/>
                    <pic:cNvPicPr/>
                  </pic:nvPicPr>
                  <pic:blipFill>
                    <a:blip r:embed="rId13"/>
                    <a:stretch>
                      <a:fillRect/>
                    </a:stretch>
                  </pic:blipFill>
                  <pic:spPr>
                    <a:xfrm>
                      <a:off x="0" y="0"/>
                      <a:ext cx="5806440" cy="4976948"/>
                    </a:xfrm>
                    <a:prstGeom prst="rect"/>
                  </pic:spPr>
                </pic:pic>
              </a:graphicData>
            </a:graphic>
          </wp:inline>
        </w:drawing>
      </w:r>
    </w:p>
    <w:p>
      <w:pPr>
        <w:keepLines/>
        <w:spacing w:before="40" w:after="0"/>
      </w:pPr>
      <w:r>
        <w:rPr>
          <w:rFonts w:ascii="Arial" w:hAnsi="Arial"/>
          <w:b w:val="0"/>
          <w:i w:val="0"/>
          <w:sz w:val="17"/>
        </w:rPr>
        <w:t>Observed Late event proportions are plotted against mean uncalibrated predicted probabilities within probability bins. The dashed line denotes perfect calibration. The lower event frequency at this boundary yields fewer observations in the higher-probability range.</w:t>
      </w:r>
    </w:p>
    <w:p>
      <w:r>
        <w:br w:type="page"/>
      </w:r>
    </w:p>
    <w:p>
      <w:pPr>
        <w:pStyle w:val="Heading1"/>
        <w:keepNext/>
      </w:pPr>
      <w:r>
        <w:t>Supplementary Figure S3. Ordinal prediction-error distribution</w:t>
      </w:r>
    </w:p>
    <w:p>
      <w:pPr>
        <w:keepNext/>
        <w:spacing w:after="80"/>
        <w:jc w:val="center"/>
      </w:pPr>
      <w:r>
        <w:drawing>
          <wp:inline xmlns:a="http://schemas.openxmlformats.org/drawingml/2006/main" xmlns:pic="http://schemas.openxmlformats.org/drawingml/2006/picture">
            <wp:extent cx="5806440" cy="3629025"/>
            <wp:docPr id="5" name="Picture 5" descr="Supplementary Figure S3. Ordinal prediction-error distribution" title="Supplementary Figure S3. Ordinal prediction-error distribution"/>
            <wp:cNvGraphicFramePr>
              <a:graphicFrameLocks noChangeAspect="1"/>
            </wp:cNvGraphicFramePr>
            <a:graphic>
              <a:graphicData uri="http://schemas.openxmlformats.org/drawingml/2006/picture">
                <pic:pic>
                  <pic:nvPicPr>
                    <pic:cNvPr id="0" name="S03_ordinal_error_distribution.png"/>
                    <pic:cNvPicPr/>
                  </pic:nvPicPr>
                  <pic:blipFill>
                    <a:blip r:embed="rId14"/>
                    <a:stretch>
                      <a:fillRect/>
                    </a:stretch>
                  </pic:blipFill>
                  <pic:spPr>
                    <a:xfrm>
                      <a:off x="0" y="0"/>
                      <a:ext cx="5806440" cy="3629025"/>
                    </a:xfrm>
                    <a:prstGeom prst="rect"/>
                  </pic:spPr>
                </pic:pic>
              </a:graphicData>
            </a:graphic>
          </wp:inline>
        </w:drawing>
      </w:r>
    </w:p>
    <w:p>
      <w:pPr>
        <w:keepLines/>
        <w:spacing w:before="40" w:after="0"/>
      </w:pPr>
      <w:r>
        <w:rPr>
          <w:rFonts w:ascii="Arial" w:hAnsi="Arial"/>
          <w:b w:val="0"/>
          <w:i w:val="0"/>
          <w:sz w:val="17"/>
        </w:rPr>
        <w:t>Prediction error is predicted ordinal index minus observed ordinal index: 0 is exact, ±1 is an adjacent-phase error, and ±2 is an Early-to-Late or Late-to-Early error. Exact-match rates were 64.4%, 63.6%, and 62.1% for CatBoost, LightGBM, and XGBoost, respectively.</w:t>
      </w:r>
    </w:p>
    <w:p>
      <w:r>
        <w:br w:type="page"/>
      </w:r>
    </w:p>
    <w:p>
      <w:pPr>
        <w:pStyle w:val="Heading1"/>
        <w:keepNext/>
      </w:pPr>
      <w:r>
        <w:t>Supplementary Figure S4. Cross-framework native TreeSHAP importance: Late boundary</w:t>
      </w:r>
    </w:p>
    <w:p>
      <w:pPr>
        <w:keepNext/>
        <w:spacing w:after="80"/>
        <w:jc w:val="center"/>
      </w:pPr>
      <w:r>
        <w:drawing>
          <wp:inline xmlns:a="http://schemas.openxmlformats.org/drawingml/2006/main" xmlns:pic="http://schemas.openxmlformats.org/drawingml/2006/picture">
            <wp:extent cx="5806440" cy="4400670"/>
            <wp:docPr id="6" name="Picture 6" descr="Supplementary Figure S4. Cross-framework native TreeSHAP importance: Late boundary" title="Supplementary Figure S4. Cross-framework native TreeSHAP importance: Late boundary"/>
            <wp:cNvGraphicFramePr>
              <a:graphicFrameLocks noChangeAspect="1"/>
            </wp:cNvGraphicFramePr>
            <a:graphic>
              <a:graphicData uri="http://schemas.openxmlformats.org/drawingml/2006/picture">
                <pic:pic>
                  <pic:nvPicPr>
                    <pic:cNvPr id="0" name="S04_feature_importance_gt_late.png"/>
                    <pic:cNvPicPr/>
                  </pic:nvPicPr>
                  <pic:blipFill>
                    <a:blip r:embed="rId15"/>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Bars show mean absolute native TreeSHAP values for q2=P(Late), aggregated only over held-out outer-fold predictions from the 15 fitted framework-fold models. Values are on each estimator's raw-margin scale and are therefore most appropriate for ranking within a framework. Additivity passed all 30 checks.</w:t>
      </w:r>
    </w:p>
    <w:p>
      <w:r>
        <w:br w:type="page"/>
      </w:r>
    </w:p>
    <w:p>
      <w:pPr>
        <w:pStyle w:val="Heading1"/>
        <w:keepNext/>
      </w:pPr>
      <w:r>
        <w:t>Supplementary Figure S5A. CatBoost held-out TreeSHAP summary: Early boundary</w:t>
      </w:r>
    </w:p>
    <w:p>
      <w:pPr>
        <w:keepNext/>
        <w:spacing w:after="80"/>
        <w:jc w:val="center"/>
      </w:pPr>
      <w:r>
        <w:drawing>
          <wp:inline xmlns:a="http://schemas.openxmlformats.org/drawingml/2006/main" xmlns:pic="http://schemas.openxmlformats.org/drawingml/2006/picture">
            <wp:extent cx="5806440" cy="4400670"/>
            <wp:docPr id="7" name="Picture 7" descr="Supplementary Figure S5A. CatBoost held-out TreeSHAP summary: Early boundary" title="Supplementary Figure S5A. CatBoost held-out TreeSHAP summary: Early boundary"/>
            <wp:cNvGraphicFramePr>
              <a:graphicFrameLocks noChangeAspect="1"/>
            </wp:cNvGraphicFramePr>
            <a:graphic>
              <a:graphicData uri="http://schemas.openxmlformats.org/drawingml/2006/picture">
                <pic:pic>
                  <pic:nvPicPr>
                    <pic:cNvPr id="0" name="S05A_catboost_shap_gt_early.png"/>
                    <pic:cNvPicPr/>
                  </pic:nvPicPr>
                  <pic:blipFill>
                    <a:blip r:embed="rId16"/>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CatBoost q1=P(Middle or Late). Each point is a held-out record. Horizontal position is the native TreeSHAP contribution on the raw-margin scale; color is the normalized observed feature value from low (blue) to high (red). Features are ordered by mean absolute contribution. Explanations are descriptive and do not imply causal effects.</w:t>
      </w:r>
    </w:p>
    <w:p>
      <w:r>
        <w:br w:type="page"/>
      </w:r>
    </w:p>
    <w:p>
      <w:pPr>
        <w:pStyle w:val="Heading1"/>
        <w:keepNext/>
      </w:pPr>
      <w:r>
        <w:t>Supplementary Figure S5B. CatBoost held-out TreeSHAP summary: Late boundary</w:t>
      </w:r>
    </w:p>
    <w:p>
      <w:pPr>
        <w:keepNext/>
        <w:spacing w:after="80"/>
        <w:jc w:val="center"/>
      </w:pPr>
      <w:r>
        <w:drawing>
          <wp:inline xmlns:a="http://schemas.openxmlformats.org/drawingml/2006/main" xmlns:pic="http://schemas.openxmlformats.org/drawingml/2006/picture">
            <wp:extent cx="5806440" cy="4400670"/>
            <wp:docPr id="8" name="Picture 8" descr="Supplementary Figure S5B. CatBoost held-out TreeSHAP summary: Late boundary" title="Supplementary Figure S5B. CatBoost held-out TreeSHAP summary: Late boundary"/>
            <wp:cNvGraphicFramePr>
              <a:graphicFrameLocks noChangeAspect="1"/>
            </wp:cNvGraphicFramePr>
            <a:graphic>
              <a:graphicData uri="http://schemas.openxmlformats.org/drawingml/2006/picture">
                <pic:pic>
                  <pic:nvPicPr>
                    <pic:cNvPr id="0" name="S05B_catboost_shap_gt_late.png"/>
                    <pic:cNvPicPr/>
                  </pic:nvPicPr>
                  <pic:blipFill>
                    <a:blip r:embed="rId17"/>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CatBoost q2=P(Late). Each point is a held-out record. Horizontal position is the native TreeSHAP contribution on the raw-margin scale; color is the normalized observed feature value from low (blue) to high (red). Features are ordered by mean absolute contribution. Explanations are descriptive and do not imply causal effects.</w:t>
      </w:r>
    </w:p>
    <w:p>
      <w:r>
        <w:br w:type="page"/>
      </w:r>
    </w:p>
    <w:p>
      <w:pPr>
        <w:pStyle w:val="Heading1"/>
        <w:keepNext/>
      </w:pPr>
      <w:r>
        <w:t>Supplementary Figure S6A. LightGBM held-out TreeSHAP summary: Early boundary</w:t>
      </w:r>
    </w:p>
    <w:p>
      <w:pPr>
        <w:keepNext/>
        <w:spacing w:after="80"/>
        <w:jc w:val="center"/>
      </w:pPr>
      <w:r>
        <w:drawing>
          <wp:inline xmlns:a="http://schemas.openxmlformats.org/drawingml/2006/main" xmlns:pic="http://schemas.openxmlformats.org/drawingml/2006/picture">
            <wp:extent cx="5806440" cy="4400670"/>
            <wp:docPr id="9" name="Picture 9" descr="Supplementary Figure S6A. LightGBM held-out TreeSHAP summary: Early boundary" title="Supplementary Figure S6A. LightGBM held-out TreeSHAP summary: Early boundary"/>
            <wp:cNvGraphicFramePr>
              <a:graphicFrameLocks noChangeAspect="1"/>
            </wp:cNvGraphicFramePr>
            <a:graphic>
              <a:graphicData uri="http://schemas.openxmlformats.org/drawingml/2006/picture">
                <pic:pic>
                  <pic:nvPicPr>
                    <pic:cNvPr id="0" name="S06A_lgbm_shap_gt_early.png"/>
                    <pic:cNvPicPr/>
                  </pic:nvPicPr>
                  <pic:blipFill>
                    <a:blip r:embed="rId18"/>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LightGBM q1=P(Middle or Late). Each point is a held-out record. Horizontal position is the native TreeSHAP contribution on the raw-margin scale; color is the normalized observed feature value from low (blue) to high (red). Features are ordered by mean absolute contribution. Explanations are descriptive and do not imply causal effects.</w:t>
      </w:r>
    </w:p>
    <w:p>
      <w:r>
        <w:br w:type="page"/>
      </w:r>
    </w:p>
    <w:p>
      <w:pPr>
        <w:pStyle w:val="Heading1"/>
        <w:keepNext/>
      </w:pPr>
      <w:r>
        <w:t>Supplementary Figure S6B. LightGBM held-out TreeSHAP summary: Late boundary</w:t>
      </w:r>
    </w:p>
    <w:p>
      <w:pPr>
        <w:keepNext/>
        <w:spacing w:after="80"/>
        <w:jc w:val="center"/>
      </w:pPr>
      <w:r>
        <w:drawing>
          <wp:inline xmlns:a="http://schemas.openxmlformats.org/drawingml/2006/main" xmlns:pic="http://schemas.openxmlformats.org/drawingml/2006/picture">
            <wp:extent cx="5806440" cy="4400670"/>
            <wp:docPr id="10" name="Picture 10" descr="Supplementary Figure S6B. LightGBM held-out TreeSHAP summary: Late boundary" title="Supplementary Figure S6B. LightGBM held-out TreeSHAP summary: Late boundary"/>
            <wp:cNvGraphicFramePr>
              <a:graphicFrameLocks noChangeAspect="1"/>
            </wp:cNvGraphicFramePr>
            <a:graphic>
              <a:graphicData uri="http://schemas.openxmlformats.org/drawingml/2006/picture">
                <pic:pic>
                  <pic:nvPicPr>
                    <pic:cNvPr id="0" name="S06B_lgbm_shap_gt_late.png"/>
                    <pic:cNvPicPr/>
                  </pic:nvPicPr>
                  <pic:blipFill>
                    <a:blip r:embed="rId19"/>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LightGBM q2=P(Late). Each point is a held-out record. Horizontal position is the native TreeSHAP contribution on the raw-margin scale; color is the normalized observed feature value from low (blue) to high (red). Features are ordered by mean absolute contribution. Explanations are descriptive and do not imply causal effects.</w:t>
      </w:r>
    </w:p>
    <w:p>
      <w:r>
        <w:br w:type="page"/>
      </w:r>
    </w:p>
    <w:p>
      <w:pPr>
        <w:pStyle w:val="Heading1"/>
        <w:keepNext/>
      </w:pPr>
      <w:r>
        <w:t>Supplementary Figure S7A. XGBoost held-out TreeSHAP summary: Early boundary</w:t>
      </w:r>
    </w:p>
    <w:p>
      <w:pPr>
        <w:keepNext/>
        <w:spacing w:after="80"/>
        <w:jc w:val="center"/>
      </w:pPr>
      <w:r>
        <w:drawing>
          <wp:inline xmlns:a="http://schemas.openxmlformats.org/drawingml/2006/main" xmlns:pic="http://schemas.openxmlformats.org/drawingml/2006/picture">
            <wp:extent cx="5806440" cy="4400670"/>
            <wp:docPr id="11" name="Picture 11" descr="Supplementary Figure S7A. XGBoost held-out TreeSHAP summary: Early boundary" title="Supplementary Figure S7A. XGBoost held-out TreeSHAP summary: Early boundary"/>
            <wp:cNvGraphicFramePr>
              <a:graphicFrameLocks noChangeAspect="1"/>
            </wp:cNvGraphicFramePr>
            <a:graphic>
              <a:graphicData uri="http://schemas.openxmlformats.org/drawingml/2006/picture">
                <pic:pic>
                  <pic:nvPicPr>
                    <pic:cNvPr id="0" name="S07A_xgb_shap_gt_early.png"/>
                    <pic:cNvPicPr/>
                  </pic:nvPicPr>
                  <pic:blipFill>
                    <a:blip r:embed="rId20"/>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XGBoost q1=P(Middle or Late). Each point is a held-out record. Horizontal position is the native TreeSHAP contribution on the raw-margin scale; color is the normalized observed feature value from low (blue) to high (red). Features are ordered by mean absolute contribution. Explanations are descriptive and do not imply causal effects.</w:t>
      </w:r>
    </w:p>
    <w:p>
      <w:r>
        <w:br w:type="page"/>
      </w:r>
    </w:p>
    <w:p>
      <w:pPr>
        <w:pStyle w:val="Heading1"/>
        <w:keepNext/>
      </w:pPr>
      <w:r>
        <w:t>Supplementary Figure S7B. XGBoost held-out TreeSHAP summary: Late boundary</w:t>
      </w:r>
    </w:p>
    <w:p>
      <w:pPr>
        <w:keepNext/>
        <w:spacing w:after="80"/>
        <w:jc w:val="center"/>
      </w:pPr>
      <w:r>
        <w:drawing>
          <wp:inline xmlns:a="http://schemas.openxmlformats.org/drawingml/2006/main" xmlns:pic="http://schemas.openxmlformats.org/drawingml/2006/picture">
            <wp:extent cx="5806440" cy="4400670"/>
            <wp:docPr id="12" name="Picture 12" descr="Supplementary Figure S7B. XGBoost held-out TreeSHAP summary: Late boundary" title="Supplementary Figure S7B. XGBoost held-out TreeSHAP summary: Late boundary"/>
            <wp:cNvGraphicFramePr>
              <a:graphicFrameLocks noChangeAspect="1"/>
            </wp:cNvGraphicFramePr>
            <a:graphic>
              <a:graphicData uri="http://schemas.openxmlformats.org/drawingml/2006/picture">
                <pic:pic>
                  <pic:nvPicPr>
                    <pic:cNvPr id="0" name="S07B_xgb_shap_gt_late.png"/>
                    <pic:cNvPicPr/>
                  </pic:nvPicPr>
                  <pic:blipFill>
                    <a:blip r:embed="rId21"/>
                    <a:stretch>
                      <a:fillRect/>
                    </a:stretch>
                  </pic:blipFill>
                  <pic:spPr>
                    <a:xfrm>
                      <a:off x="0" y="0"/>
                      <a:ext cx="5806440" cy="4400670"/>
                    </a:xfrm>
                    <a:prstGeom prst="rect"/>
                  </pic:spPr>
                </pic:pic>
              </a:graphicData>
            </a:graphic>
          </wp:inline>
        </w:drawing>
      </w:r>
    </w:p>
    <w:p>
      <w:pPr>
        <w:keepLines/>
        <w:spacing w:before="40" w:after="0"/>
      </w:pPr>
      <w:r>
        <w:rPr>
          <w:rFonts w:ascii="Arial" w:hAnsi="Arial"/>
          <w:b w:val="0"/>
          <w:i w:val="0"/>
          <w:sz w:val="17"/>
        </w:rPr>
        <w:t>XGBoost q2=P(Late). Each point is a held-out record. Horizontal position is the native TreeSHAP contribution on the raw-margin scale; color is the normalized observed feature value from low (blue) to high (red). Features are ordered by mean absolute contribution. Explanations are descriptive and do not imply causal effects.</w:t>
      </w:r>
    </w:p>
    <w:p>
      <w:r>
        <w:br w:type="page"/>
      </w:r>
    </w:p>
    <w:p>
      <w:pPr>
        <w:pStyle w:val="Heading1"/>
        <w:keepNext/>
      </w:pPr>
      <w:r>
        <w:t>Supplementary Figure S8. Full 26-feature ablation heatmap</w:t>
      </w:r>
    </w:p>
    <w:p>
      <w:pPr>
        <w:keepNext/>
        <w:spacing w:after="80"/>
        <w:jc w:val="center"/>
      </w:pPr>
      <w:r>
        <w:drawing>
          <wp:inline xmlns:a="http://schemas.openxmlformats.org/drawingml/2006/main" xmlns:pic="http://schemas.openxmlformats.org/drawingml/2006/picture">
            <wp:extent cx="4807651" cy="6537959"/>
            <wp:docPr id="13" name="Picture 13" descr="Supplementary Figure S8. Full 26-feature ablation heatmap" title="Supplementary Figure S8. Full 26-feature ablation heatmap"/>
            <wp:cNvGraphicFramePr>
              <a:graphicFrameLocks noChangeAspect="1"/>
            </wp:cNvGraphicFramePr>
            <a:graphic>
              <a:graphicData uri="http://schemas.openxmlformats.org/drawingml/2006/picture">
                <pic:pic>
                  <pic:nvPicPr>
                    <pic:cNvPr id="0" name="S08_ablation_heatmap.png"/>
                    <pic:cNvPicPr/>
                  </pic:nvPicPr>
                  <pic:blipFill>
                    <a:blip r:embed="rId22"/>
                    <a:stretch>
                      <a:fillRect/>
                    </a:stretch>
                  </pic:blipFill>
                  <pic:spPr>
                    <a:xfrm>
                      <a:off x="0" y="0"/>
                      <a:ext cx="4807651" cy="6537959"/>
                    </a:xfrm>
                    <a:prstGeom prst="rect"/>
                  </pic:spPr>
                </pic:pic>
              </a:graphicData>
            </a:graphic>
          </wp:inline>
        </w:drawing>
      </w:r>
    </w:p>
    <w:p>
      <w:pPr>
        <w:keepLines/>
        <w:spacing w:before="40" w:after="0"/>
      </w:pPr>
      <w:r>
        <w:rPr>
          <w:rFonts w:ascii="Arial" w:hAnsi="Arial"/>
          <w:b w:val="0"/>
          <w:i w:val="0"/>
          <w:sz w:val="17"/>
        </w:rPr>
        <w:t>Each cell is the pooled mean-AUROC loss after removing one engineered feature from the indicated framework and refitting on the same outer-training folds with saved model settings. Positive values indicate worse discrimination after removal; negative values indicate no loss or a small improvement. fp_intensity_density produced the largest consistent loss (0.021–0.025). Hyperparameters were not reoptimized per ablation.</w:t>
      </w:r>
    </w:p>
    <w:p>
      <w:r>
        <w:br w:type="page"/>
      </w:r>
    </w:p>
    <w:p>
      <w:pPr>
        <w:pStyle w:val="Heading1"/>
        <w:keepNext/>
      </w:pPr>
      <w:r>
        <w:t>Supplementary Figure S9. Feature-ranking correlation matrix</w:t>
      </w:r>
    </w:p>
    <w:p>
      <w:pPr>
        <w:keepNext/>
        <w:spacing w:after="80"/>
        <w:jc w:val="center"/>
      </w:pPr>
      <w:r>
        <w:drawing>
          <wp:inline xmlns:a="http://schemas.openxmlformats.org/drawingml/2006/main" xmlns:pic="http://schemas.openxmlformats.org/drawingml/2006/picture">
            <wp:extent cx="5806440" cy="4980646"/>
            <wp:docPr id="14" name="Picture 14" descr="Supplementary Figure S9. Feature-ranking correlation matrix" title="Supplementary Figure S9. Feature-ranking correlation matrix"/>
            <wp:cNvGraphicFramePr>
              <a:graphicFrameLocks noChangeAspect="1"/>
            </wp:cNvGraphicFramePr>
            <a:graphic>
              <a:graphicData uri="http://schemas.openxmlformats.org/drawingml/2006/picture">
                <pic:pic>
                  <pic:nvPicPr>
                    <pic:cNvPr id="0" name="S09_rank_correlation_heatmap.png"/>
                    <pic:cNvPicPr/>
                  </pic:nvPicPr>
                  <pic:blipFill>
                    <a:blip r:embed="rId23"/>
                    <a:stretch>
                      <a:fillRect/>
                    </a:stretch>
                  </pic:blipFill>
                  <pic:spPr>
                    <a:xfrm>
                      <a:off x="0" y="0"/>
                      <a:ext cx="5806440" cy="4980646"/>
                    </a:xfrm>
                    <a:prstGeom prst="rect"/>
                  </pic:spPr>
                </pic:pic>
              </a:graphicData>
            </a:graphic>
          </wp:inline>
        </w:drawing>
      </w:r>
    </w:p>
    <w:p>
      <w:pPr>
        <w:keepLines/>
        <w:spacing w:before="40" w:after="0"/>
      </w:pPr>
      <w:r>
        <w:rPr>
          <w:rFonts w:ascii="Arial" w:hAnsi="Arial"/>
          <w:b w:val="0"/>
          <w:i w:val="0"/>
          <w:sz w:val="17"/>
        </w:rPr>
        <w:t>Pairwise Spearman correlations compare framework-by-outer-fold SHAP ranks, matched ablation ranks, their method consensuses, and the equal-weight combined consensus over all 26 engineered features. Concordance was stronger among the 15 SHAP judges (Kendall W=0.686) than among the 15 ablation judges (W=0.168); SHAP- versus ablation-consensus ranks had rho=0.217.</w:t>
      </w:r>
    </w:p>
    <w:p>
      <w:r>
        <w:br w:type="page"/>
      </w:r>
    </w:p>
    <w:p>
      <w:pPr>
        <w:pStyle w:val="Heading1"/>
        <w:keepNext/>
      </w:pPr>
      <w:r>
        <w:t>Supplementary Figure S10. Consensus feature-ranking diagnostics</w:t>
      </w:r>
    </w:p>
    <w:p>
      <w:pPr>
        <w:keepNext/>
        <w:spacing w:before="20" w:after="20"/>
      </w:pPr>
      <w:r>
        <w:rPr>
          <w:rFonts w:ascii="Arial" w:hAnsi="Arial"/>
          <w:b/>
          <w:i w:val="0"/>
          <w:color w:val="1F4E79"/>
          <w:sz w:val="19"/>
        </w:rPr>
        <w:t>A</w:t>
      </w:r>
    </w:p>
    <w:p>
      <w:pPr>
        <w:keepNext/>
        <w:spacing w:after="80"/>
        <w:jc w:val="center"/>
      </w:pPr>
      <w:r>
        <w:drawing>
          <wp:inline xmlns:a="http://schemas.openxmlformats.org/drawingml/2006/main" xmlns:pic="http://schemas.openxmlformats.org/drawingml/2006/picture">
            <wp:extent cx="5715000" cy="1818329"/>
            <wp:docPr id="15" name="Picture 15" descr="Panel A: pairwise scatter plots of consensus feature ranks" title="Panel A: pairwise scatter plots of consensus feature ranks"/>
            <wp:cNvGraphicFramePr>
              <a:graphicFrameLocks noChangeAspect="1"/>
            </wp:cNvGraphicFramePr>
            <a:graphic>
              <a:graphicData uri="http://schemas.openxmlformats.org/drawingml/2006/picture">
                <pic:pic>
                  <pic:nvPicPr>
                    <pic:cNvPr id="0" name="S10_rank_scatter_matrix.png"/>
                    <pic:cNvPicPr/>
                  </pic:nvPicPr>
                  <pic:blipFill>
                    <a:blip r:embed="rId24"/>
                    <a:stretch>
                      <a:fillRect/>
                    </a:stretch>
                  </pic:blipFill>
                  <pic:spPr>
                    <a:xfrm>
                      <a:off x="0" y="0"/>
                      <a:ext cx="5715000" cy="1818329"/>
                    </a:xfrm>
                    <a:prstGeom prst="rect"/>
                  </pic:spPr>
                </pic:pic>
              </a:graphicData>
            </a:graphic>
          </wp:inline>
        </w:drawing>
      </w:r>
    </w:p>
    <w:p>
      <w:pPr>
        <w:keepNext/>
        <w:spacing w:before="20" w:after="20"/>
      </w:pPr>
      <w:r>
        <w:rPr>
          <w:rFonts w:ascii="Arial" w:hAnsi="Arial"/>
          <w:b/>
          <w:i w:val="0"/>
          <w:color w:val="1F4E79"/>
          <w:sz w:val="19"/>
        </w:rPr>
        <w:t>B</w:t>
      </w:r>
    </w:p>
    <w:p>
      <w:pPr>
        <w:keepNext/>
        <w:spacing w:after="80"/>
        <w:jc w:val="center"/>
      </w:pPr>
      <w:r>
        <w:drawing>
          <wp:inline xmlns:a="http://schemas.openxmlformats.org/drawingml/2006/main" xmlns:pic="http://schemas.openxmlformats.org/drawingml/2006/picture">
            <wp:extent cx="4282946" cy="3749039"/>
            <wp:docPr id="16" name="Picture 16" descr="Panel B: top-three consensus-ranking overlap heatmap" title="Panel B: top-three consensus-ranking overlap heatmap"/>
            <wp:cNvGraphicFramePr>
              <a:graphicFrameLocks noChangeAspect="1"/>
            </wp:cNvGraphicFramePr>
            <a:graphic>
              <a:graphicData uri="http://schemas.openxmlformats.org/drawingml/2006/picture">
                <pic:pic>
                  <pic:nvPicPr>
                    <pic:cNvPr id="0" name="S11_top_k_overlap_heatmap.png"/>
                    <pic:cNvPicPr/>
                  </pic:nvPicPr>
                  <pic:blipFill>
                    <a:blip r:embed="rId25"/>
                    <a:stretch>
                      <a:fillRect/>
                    </a:stretch>
                  </pic:blipFill>
                  <pic:spPr>
                    <a:xfrm>
                      <a:off x="0" y="0"/>
                      <a:ext cx="4282946" cy="3749039"/>
                    </a:xfrm>
                    <a:prstGeom prst="rect"/>
                  </pic:spPr>
                </pic:pic>
              </a:graphicData>
            </a:graphic>
          </wp:inline>
        </w:drawing>
      </w:r>
    </w:p>
    <w:p>
      <w:pPr>
        <w:keepLines/>
        <w:spacing w:before="40" w:after="0"/>
      </w:pPr>
      <w:r>
        <w:rPr>
          <w:rFonts w:ascii="Arial" w:hAnsi="Arial"/>
          <w:b w:val="0"/>
          <w:i w:val="0"/>
          <w:sz w:val="17"/>
        </w:rPr>
        <w:t>A, pairwise consensus-rank comparisons; lower numerical ranks denote greater importance. Spearman rho was 0.945 for SHAP versus combined consensus, 0.491 for ablation versus combined consensus, and 0.217 for SHAP versus ablation consensus. B, overlap of the top-three lists; cell values are Jaccard similarity. The combined consensus shared two of three features with each method consensus, whereas the SHAP and ablation consensuses shared one.</w:t>
      </w:r>
    </w:p>
    <w:p>
      <w:r>
        <w:br w:type="page"/>
      </w:r>
    </w:p>
    <w:p>
      <w:pPr>
        <w:pStyle w:val="Heading1"/>
        <w:keepNext/>
      </w:pPr>
      <w:r>
        <w:t>Supplementary Figure S11. Ensemble recovery index over observed timepoints</w:t>
      </w:r>
    </w:p>
    <w:p>
      <w:pPr>
        <w:keepNext/>
        <w:spacing w:after="80"/>
        <w:jc w:val="center"/>
      </w:pPr>
      <w:r>
        <w:drawing>
          <wp:inline xmlns:a="http://schemas.openxmlformats.org/drawingml/2006/main" xmlns:pic="http://schemas.openxmlformats.org/drawingml/2006/picture">
            <wp:extent cx="5806440" cy="3774186"/>
            <wp:docPr id="17" name="Picture 17" descr="Supplementary Figure S11. Ensemble recovery index over observed timepoints" title="Supplementary Figure S11. Ensemble recovery index over observed timepoints"/>
            <wp:cNvGraphicFramePr>
              <a:graphicFrameLocks noChangeAspect="1"/>
            </wp:cNvGraphicFramePr>
            <a:graphic>
              <a:graphicData uri="http://schemas.openxmlformats.org/drawingml/2006/picture">
                <pic:pic>
                  <pic:nvPicPr>
                    <pic:cNvPr id="0" name="S12_recovery_index_by_timepoint.png"/>
                    <pic:cNvPicPr/>
                  </pic:nvPicPr>
                  <pic:blipFill>
                    <a:blip r:embed="rId26"/>
                    <a:stretch>
                      <a:fillRect/>
                    </a:stretch>
                  </pic:blipFill>
                  <pic:spPr>
                    <a:xfrm>
                      <a:off x="0" y="0"/>
                      <a:ext cx="5806440" cy="3774186"/>
                    </a:xfrm>
                    <a:prstGeom prst="rect"/>
                  </pic:spPr>
                </pic:pic>
              </a:graphicData>
            </a:graphic>
          </wp:inline>
        </w:drawing>
      </w:r>
    </w:p>
    <w:p>
      <w:pPr>
        <w:keepLines/>
        <w:spacing w:before="40" w:after="0"/>
      </w:pPr>
      <w:r>
        <w:rPr>
          <w:rFonts w:ascii="Arial" w:hAnsi="Arial"/>
          <w:b w:val="0"/>
          <w:i w:val="0"/>
          <w:sz w:val="17"/>
        </w:rPr>
        <w:t>Diamonds show the mean equal-weight ensemble recovery index at each observed timepoint, and vertical whiskers span the first to third quartiles. The index is 50×P(Middle)+100×P(Late), using Platt-calibrated out-of-fold probabilities from the three post-selection three-feature frameworks. Repeated measurements are retained, so this descriptive trajectory is not an independent longitudinal effect estimate.</w:t>
      </w:r>
    </w:p>
    <w:p>
      <w:r>
        <w:br w:type="page"/>
      </w:r>
    </w:p>
    <w:p>
      <w:pPr>
        <w:pStyle w:val="Heading1"/>
        <w:keepNext/>
      </w:pPr>
      <w:r>
        <w:t>Supplementary Figure S12. Recovery-index framework agreement and disagreement</w:t>
      </w:r>
    </w:p>
    <w:p>
      <w:pPr>
        <w:keepNext/>
        <w:spacing w:before="20" w:after="20"/>
      </w:pPr>
      <w:r>
        <w:rPr>
          <w:rFonts w:ascii="Arial" w:hAnsi="Arial"/>
          <w:b/>
          <w:i w:val="0"/>
          <w:color w:val="1F4E79"/>
          <w:sz w:val="19"/>
        </w:rPr>
        <w:t>A</w:t>
      </w:r>
    </w:p>
    <w:p>
      <w:pPr>
        <w:keepNext/>
        <w:spacing w:after="80"/>
        <w:jc w:val="center"/>
      </w:pPr>
      <w:r>
        <w:drawing>
          <wp:inline xmlns:a="http://schemas.openxmlformats.org/drawingml/2006/main" xmlns:pic="http://schemas.openxmlformats.org/drawingml/2006/picture">
            <wp:extent cx="5852160" cy="1872691"/>
            <wp:docPr id="18" name="Picture 18" descr="Panel A: framework-specific versus ensemble recovery indices" title="Panel A: framework-specific versus ensemble recovery indices"/>
            <wp:cNvGraphicFramePr>
              <a:graphicFrameLocks noChangeAspect="1"/>
            </wp:cNvGraphicFramePr>
            <a:graphic>
              <a:graphicData uri="http://schemas.openxmlformats.org/drawingml/2006/picture">
                <pic:pic>
                  <pic:nvPicPr>
                    <pic:cNvPr id="0" name="S13_framework_ensemble_agreement.png"/>
                    <pic:cNvPicPr/>
                  </pic:nvPicPr>
                  <pic:blipFill>
                    <a:blip r:embed="rId27"/>
                    <a:stretch>
                      <a:fillRect/>
                    </a:stretch>
                  </pic:blipFill>
                  <pic:spPr>
                    <a:xfrm>
                      <a:off x="0" y="0"/>
                      <a:ext cx="5852160" cy="1872691"/>
                    </a:xfrm>
                    <a:prstGeom prst="rect"/>
                  </pic:spPr>
                </pic:pic>
              </a:graphicData>
            </a:graphic>
          </wp:inline>
        </w:drawing>
      </w:r>
    </w:p>
    <w:p>
      <w:pPr>
        <w:keepNext/>
        <w:spacing w:before="20" w:after="20"/>
      </w:pPr>
      <w:r>
        <w:rPr>
          <w:rFonts w:ascii="Arial" w:hAnsi="Arial"/>
          <w:b/>
          <w:i w:val="0"/>
          <w:color w:val="1F4E79"/>
          <w:sz w:val="19"/>
        </w:rPr>
        <w:t>B</w:t>
      </w:r>
    </w:p>
    <w:p>
      <w:pPr>
        <w:keepNext/>
        <w:spacing w:after="80"/>
        <w:jc w:val="center"/>
      </w:pPr>
      <w:r>
        <w:drawing>
          <wp:inline xmlns:a="http://schemas.openxmlformats.org/drawingml/2006/main" xmlns:pic="http://schemas.openxmlformats.org/drawingml/2006/picture">
            <wp:extent cx="4937760" cy="3429000"/>
            <wp:docPr id="19" name="Picture 19" descr="Panel B: histogram of between-model recovery-index standard deviation" title="Panel B: histogram of between-model recovery-index standard deviation"/>
            <wp:cNvGraphicFramePr>
              <a:graphicFrameLocks noChangeAspect="1"/>
            </wp:cNvGraphicFramePr>
            <a:graphic>
              <a:graphicData uri="http://schemas.openxmlformats.org/drawingml/2006/picture">
                <pic:pic>
                  <pic:nvPicPr>
                    <pic:cNvPr id="0" name="S14_recovery_index_model_disagreement.png"/>
                    <pic:cNvPicPr/>
                  </pic:nvPicPr>
                  <pic:blipFill>
                    <a:blip r:embed="rId28"/>
                    <a:stretch>
                      <a:fillRect/>
                    </a:stretch>
                  </pic:blipFill>
                  <pic:spPr>
                    <a:xfrm>
                      <a:off x="0" y="0"/>
                      <a:ext cx="4937760" cy="3429000"/>
                    </a:xfrm>
                    <a:prstGeom prst="rect"/>
                  </pic:spPr>
                </pic:pic>
              </a:graphicData>
            </a:graphic>
          </wp:inline>
        </w:drawing>
      </w:r>
    </w:p>
    <w:p>
      <w:pPr>
        <w:keepLines/>
        <w:spacing w:before="40" w:after="0"/>
      </w:pPr>
      <w:r>
        <w:rPr>
          <w:rFonts w:ascii="Arial" w:hAnsi="Arial"/>
          <w:b w:val="0"/>
          <w:i w:val="0"/>
          <w:sz w:val="17"/>
        </w:rPr>
        <w:t>A, framework-specific recovery indices versus the equal-weight ensemble, with the dashed identity line; pairwise Pearson correlations among framework indices ranged from 0.980 to 0.992. B, distribution of the record-level standard deviation across the three framework indices. Mean between-model SD was 2.84 index points.</w:t>
      </w:r>
    </w:p>
    <w:p>
      <w:r>
        <w:br w:type="page"/>
      </w:r>
    </w:p>
    <w:p>
      <w:pPr>
        <w:pStyle w:val="Heading1"/>
        <w:keepNext/>
      </w:pPr>
      <w:r>
        <w:t>Supplementary Figure S13. Out-of-fold GAM surrogate agreement</w:t>
      </w:r>
    </w:p>
    <w:p>
      <w:pPr>
        <w:keepNext/>
        <w:spacing w:after="80"/>
        <w:jc w:val="center"/>
      </w:pPr>
      <w:r>
        <w:drawing>
          <wp:inline xmlns:a="http://schemas.openxmlformats.org/drawingml/2006/main" xmlns:pic="http://schemas.openxmlformats.org/drawingml/2006/picture">
            <wp:extent cx="5806440" cy="5080634"/>
            <wp:docPr id="20" name="Picture 20" descr="Supplementary Figure S13. Out-of-fold GAM surrogate agreement" title="Supplementary Figure S13. Out-of-fold GAM surrogate agreement"/>
            <wp:cNvGraphicFramePr>
              <a:graphicFrameLocks noChangeAspect="1"/>
            </wp:cNvGraphicFramePr>
            <a:graphic>
              <a:graphicData uri="http://schemas.openxmlformats.org/drawingml/2006/picture">
                <pic:pic>
                  <pic:nvPicPr>
                    <pic:cNvPr id="0" name="S15_gam_vs_ensemble.png"/>
                    <pic:cNvPicPr/>
                  </pic:nvPicPr>
                  <pic:blipFill>
                    <a:blip r:embed="rId29"/>
                    <a:stretch>
                      <a:fillRect/>
                    </a:stretch>
                  </pic:blipFill>
                  <pic:spPr>
                    <a:xfrm>
                      <a:off x="0" y="0"/>
                      <a:ext cx="5806440" cy="5080634"/>
                    </a:xfrm>
                    <a:prstGeom prst="rect"/>
                  </pic:spPr>
                </pic:pic>
              </a:graphicData>
            </a:graphic>
          </wp:inline>
        </w:drawing>
      </w:r>
    </w:p>
    <w:p>
      <w:pPr>
        <w:keepLines/>
        <w:spacing w:before="40" w:after="0"/>
      </w:pPr>
      <w:r>
        <w:rPr>
          <w:rFonts w:ascii="Arial" w:hAnsi="Arial"/>
          <w:b w:val="0"/>
          <w:i w:val="0"/>
          <w:sz w:val="17"/>
        </w:rPr>
        <w:t>Each point compares the ensemble recovery index with its out-of-fold generalized additive model approximation; color identifies the held-out outer fold and the dashed line is identity. Fidelity estimates were R²=0.957, RMSE=5.26, MAE=4.01, and Spearman rho=0.969. The GAM approximates the ensemble index rather than observed phase labels.</w:t>
      </w:r>
    </w:p>
    <w:p>
      <w:r>
        <w:br w:type="page"/>
      </w:r>
    </w:p>
    <w:p>
      <w:pPr>
        <w:pStyle w:val="Heading1"/>
        <w:keepNext/>
      </w:pPr>
      <w:r>
        <w:t>Supplementary Figure S14. GAM surrogate residuals by recovery phase</w:t>
      </w:r>
    </w:p>
    <w:p>
      <w:pPr>
        <w:keepNext/>
        <w:spacing w:after="80"/>
        <w:jc w:val="center"/>
      </w:pPr>
      <w:r>
        <w:drawing>
          <wp:inline xmlns:a="http://schemas.openxmlformats.org/drawingml/2006/main" xmlns:pic="http://schemas.openxmlformats.org/drawingml/2006/picture">
            <wp:extent cx="5806440" cy="4717732"/>
            <wp:docPr id="21" name="Picture 21" descr="Supplementary Figure S14. GAM surrogate residuals by recovery phase" title="Supplementary Figure S14. GAM surrogate residuals by recovery phase"/>
            <wp:cNvGraphicFramePr>
              <a:graphicFrameLocks noChangeAspect="1"/>
            </wp:cNvGraphicFramePr>
            <a:graphic>
              <a:graphicData uri="http://schemas.openxmlformats.org/drawingml/2006/picture">
                <pic:pic>
                  <pic:nvPicPr>
                    <pic:cNvPr id="0" name="S16_gam_residuals_by_phase.png"/>
                    <pic:cNvPicPr/>
                  </pic:nvPicPr>
                  <pic:blipFill>
                    <a:blip r:embed="rId30"/>
                    <a:stretch>
                      <a:fillRect/>
                    </a:stretch>
                  </pic:blipFill>
                  <pic:spPr>
                    <a:xfrm>
                      <a:off x="0" y="0"/>
                      <a:ext cx="5806440" cy="4717732"/>
                    </a:xfrm>
                    <a:prstGeom prst="rect"/>
                  </pic:spPr>
                </pic:pic>
              </a:graphicData>
            </a:graphic>
          </wp:inline>
        </w:drawing>
      </w:r>
    </w:p>
    <w:p>
      <w:pPr>
        <w:keepLines/>
        <w:spacing w:before="40" w:after="0"/>
      </w:pPr>
      <w:r>
        <w:rPr>
          <w:rFonts w:ascii="Arial" w:hAnsi="Arial"/>
          <w:b w:val="0"/>
          <w:i w:val="0"/>
          <w:sz w:val="17"/>
        </w:rPr>
        <w:t>Residual is out-of-fold GAM index minus ensemble recovery index; the dashed line denotes zero. Boxes summarize the phase-specific residual distributions with outliers suppressed for display. Phase-specific RMSE was 4.80 for Early, 5.60 for Middle, and 5.60 for Late.</w:t>
      </w:r>
    </w:p>
    <w:p>
      <w:r>
        <w:br w:type="page"/>
      </w:r>
    </w:p>
    <w:p>
      <w:pPr>
        <w:pStyle w:val="Heading1"/>
        <w:keepNext/>
      </w:pPr>
      <w:r>
        <w:t>Supplementary Figure S15. GAM additive feature functions</w:t>
      </w:r>
    </w:p>
    <w:p>
      <w:pPr>
        <w:keepNext/>
        <w:spacing w:after="80"/>
        <w:jc w:val="center"/>
      </w:pPr>
      <w:r>
        <w:drawing>
          <wp:inline xmlns:a="http://schemas.openxmlformats.org/drawingml/2006/main" xmlns:pic="http://schemas.openxmlformats.org/drawingml/2006/picture">
            <wp:extent cx="5806440" cy="3225800"/>
            <wp:docPr id="22" name="Picture 22" descr="Supplementary Figure S15. GAM additive feature functions" title="Supplementary Figure S15. GAM additive feature functions"/>
            <wp:cNvGraphicFramePr>
              <a:graphicFrameLocks noChangeAspect="1"/>
            </wp:cNvGraphicFramePr>
            <a:graphic>
              <a:graphicData uri="http://schemas.openxmlformats.org/drawingml/2006/picture">
                <pic:pic>
                  <pic:nvPicPr>
                    <pic:cNvPr id="0" name="S17_gam_feature_effects.png"/>
                    <pic:cNvPicPr/>
                  </pic:nvPicPr>
                  <pic:blipFill>
                    <a:blip r:embed="rId31"/>
                    <a:stretch>
                      <a:fillRect/>
                    </a:stretch>
                  </pic:blipFill>
                  <pic:spPr>
                    <a:xfrm>
                      <a:off x="0" y="0"/>
                      <a:ext cx="5806440" cy="3225800"/>
                    </a:xfrm>
                    <a:prstGeom prst="rect"/>
                  </pic:spPr>
                </pic:pic>
              </a:graphicData>
            </a:graphic>
          </wp:inline>
        </w:drawing>
      </w:r>
    </w:p>
    <w:p>
      <w:pPr>
        <w:keepLines/>
        <w:spacing w:before="40" w:after="0"/>
      </w:pPr>
      <w:r>
        <w:rPr>
          <w:rFonts w:ascii="Arial" w:hAnsi="Arial"/>
          <w:b w:val="0"/>
          <w:i w:val="0"/>
          <w:sz w:val="17"/>
        </w:rPr>
        <w:t>Functions from the final all-data GAM surrogate for the three consensus features used to approximate the ensemble recovery index: fp_intensity_density, fp_intensity_loading_fraction, and hp_loading_rate. Lines are centered additive contributions on the fitted logit scale; shaded regions are 95% conditional intervals. Curves describe the surrogate and should not be interpreted as causal or independently validated biological dose-response relationships.</w:t>
      </w:r>
    </w:p>
    <w:sectPr w:rsidR="00FC693F" w:rsidRPr="0006063C" w:rsidSect="00034616">
      <w:footerReference w:type="default" r:id="rId9"/>
      <w:pgSz w:w="12240" w:h="15840"/>
      <w:pgMar w:top="1008" w:right="1181" w:bottom="1008"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ascii="Arial" w:hAnsi="Arial"/>
      <w:b/>
      <w:bCs/>
      <w:color w:val="1F4E79"/>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