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a"/>
        <w:pageBreakBefore w:val="0"/>
        <w:jc w:val="center"/>
        <w:rPr/>
        <w:pBdr>
          <w:bottom w:val="single" w:sz="8" w:space="4" w:color="4F81BD"/>
        </w:pBdr>
      </w:pPr>
      <w:r>
        <w:t>Supplementary tables</w:t>
      </w:r>
    </w:p>
    <w:p>
      <w:pPr>
        <w:pStyle w:val="SupplementSubtitle"/>
        <w:keepNext/>
        <w:pageBreakBefore w:val="0"/>
        <w:spacing w:before="0" w:after="200" w:line="240" w:lineRule="auto"/>
        <w:jc w:val="center"/>
        <w:rPr>
          <w:color w:val="666666"/>
        </w:rPr>
      </w:pPr>
      <w:r>
        <w:rPr/>
        <w:t>Interpretable machine learning for classifying time-defined post-injury recovery stage from gait data after spinal cord injury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rPr>
          <w:b/>
        </w:rPr>
        <w:t>Supplementary Table S1. Source-experiment manifest</w:t>
      </w:r>
    </w:p>
    <w:tbl>
      <w:tblPr>
        <w:tblStyle w:val="aff4"/>
        <w:tblW w:w="15536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5284"/>
        <w:gridCol w:w="4040"/>
        <w:gridCol w:w="3108"/>
        <w:gridCol w:w="3108"/>
      </w:tblGrid>
      <w:tr>
        <w:trPr>
          <w:tblHeader w:val="true"/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Experiment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Status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Rows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Columns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SHH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Included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916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136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VEGF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Included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388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134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BMDM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Included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332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IL4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Included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393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278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NK1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Included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183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189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Total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 experiments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2,101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/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b/>
          <w:color w:val="1F4E79"/>
          <w:sz w:val="18"/>
        </w:rPr>
      </w:pPr>
      <w:r>
        <w:t>Supplementary Table S2. Quality control and cohort derivation</w:t>
      </w:r>
    </w:p>
    <w:tbl>
      <w:tblPr>
        <w:tblStyle w:val="aff4"/>
        <w:tblW w:w="15536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4351"/>
        <w:gridCol w:w="2020"/>
        <w:gridCol w:w="2020"/>
        <w:gridCol w:w="7149"/>
      </w:tblGrid>
      <w:tr>
        <w:trPr>
          <w:tblHeader w:val="true"/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Cohort step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Records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Animals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Definition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Canonical source dataset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2,101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451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Five source experiments after Workflow 01 canonicalization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Baseline excluded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534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Timepoint = 0; no ordinal phase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Missing measurement excluded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43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Missing fp_stand_s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Workflow 02 QC-retained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1,524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387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Post-baseline source rows passing QC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Controls-only cohort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396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115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QC-retained controls with an assigned phase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QC-retained non-control rows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1,128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840 experimental; 281 sham; 7 unclassified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rPr>
          <w:b/>
        </w:rPr>
        <w:t>Supplementary Table S3. Controls-only phase and timepoint composition</w:t>
      </w:r>
    </w:p>
    <w:tbl>
      <w:tblPr>
        <w:tblStyle w:val="aff4"/>
        <w:tblW w:w="15536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3419"/>
        <w:gridCol w:w="4040"/>
        <w:gridCol w:w="4040"/>
        <w:gridCol w:w="4041"/>
      </w:tblGrid>
      <w:tr>
        <w:trPr>
          <w:tblHeader w:val="true"/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Phase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Post-injury day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Records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Animals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3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68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68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7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107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74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14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59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45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21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57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30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28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33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Day 35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rPr>
          <w:b/>
        </w:rPr>
        <w:t>Supplementary Table S4. Raw predictor inputs</w:t>
      </w:r>
    </w:p>
    <w:tbl>
      <w:tblPr>
        <w:tblStyle w:val="aff4"/>
        <w:tblW w:w="15538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11189"/>
        <w:gridCol w:w="4351"/>
      </w:tblGrid>
      <w:tr>
        <w:trPr>
          <w:tblHeader w:val="true"/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Input feature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Scope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run_average_speed_cm_per_s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Global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fp_intensity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hp_intensity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fp_max_intensity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hp_max_intensity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fp_intensity_of_the_15_most_intense_pixels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hp_intensity_of_the_15_most_intense_pixels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fp_stand_s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hp_stand_s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fp_swing_s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hp_swing_s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fp_print_area_cm2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hp_print_area_cm2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fp_max_contact_area_cm2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hp_max_contact_area_cm2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fp_stride_length_cm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hp_stride_length_cm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fp_duty_cycle_pct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Forepaw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hp_duty_cycle_pct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Hindpaw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S5. Engineered-feature dictionary</w:t>
      </w:r>
    </w:p>
    <w:tbl>
      <w:tblPr>
        <w:tblStyle w:val="aff4"/>
        <w:tblW w:w="15538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6682"/>
        <w:gridCol w:w="8858"/>
      </w:tblGrid>
      <w:tr>
        <w:trPr>
          <w:tblHeader w:val="true"/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Engineered feature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Formula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hp_peak_loading_index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(z(HP maximum intensity) + z(HP 15-pixel intensity)) / 2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fp_peak_loading_index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(z(FP maximum intensity) + z(FP 15-pixel intensity)) / 2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fp_intensity_loading_fraction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/ (FP intensity + HP intensity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hp_intensity_loading_fraction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/ (FP intensity + HP intensity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fp_maxintensity_loading_fraction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maximum intensity / (FP maximum intensity + HP maximum intensity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hp_maxintensity_loading_fraction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maximum intensity / (FP maximum intensity + HP maximum intensity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hp_loading_speed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/ (run-average speed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fp_loading_speed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/ (run-average speed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hp_functional_output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x HP print area x HP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fp_functional_output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x FP print area x FP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fp_intensity_density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/ (FP maximum contact area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hp_intensity_density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/ (HP maximum contact area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fp_integrated_loading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x FP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hp_integrated_loading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x HP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fp_loading_rate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intensity / (FP stance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hp_loading_rate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intensity / (HP stance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fp_propulsion_time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stride length / (FP stance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hp_propulsion_time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stride length / (HP stance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stand_symmetry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|FP stance - HP stance|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swing_symmetry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|FP swing - HP swing|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duty_cycle_symmetry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|FP duty cycle - HP duty cycle|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fp_temporal_contact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print area x FP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hp_temporal_contact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print area x HP stance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hp_propulsion_loading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stride length / (HP intensity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hp_stride_length_per_cycle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 stride length / (HP stance + HP swing + epsilon)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fp_stride_length_per_cycle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 stride length / (FP stance + FP swing + epsilon)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For ratios, epsilon = 1 × 10^-8; peak-loading z statistics are estimated in the active training partition; infinite outputs are set to missing.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rPr>
          <w:b/>
        </w:rPr>
        <w:t>Supplementary Table S6. Engineered-feature missingness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4973"/>
        <w:gridCol w:w="2331"/>
        <w:gridCol w:w="2331"/>
        <w:gridCol w:w="2331"/>
        <w:gridCol w:w="3574"/>
      </w:tblGrid>
      <w:tr>
        <w:trPr>
          <w:tblHeader w:val="true"/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Subset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Cells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Missing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Missing, %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Complete records, n/N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All records (26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10,296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4,179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40.6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113/396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 (26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4,550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2,577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56.6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 (26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3,016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985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32.7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 (26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2,730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617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22.6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All records (3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1,188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452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38.0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162/396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 (3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525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294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56.0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28/175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 (3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27.6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60/116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 (3 features)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315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74/105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>
          <w:b/>
          <w:color w:val="1F4E79"/>
          <w:sz w:val="18"/>
        </w:rPr>
      </w:pPr>
      <w:r>
        <w:rPr>
          <w:b/>
        </w:rPr>
        <w:t>Supplementary Table S7. Outer-fold composition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797"/>
        <w:gridCol w:w="2486"/>
        <w:gridCol w:w="2486"/>
        <w:gridCol w:w="2642"/>
        <w:gridCol w:w="2642"/>
        <w:gridCol w:w="2487"/>
      </w:tblGrid>
      <w:tr>
        <w:trPr>
          <w:tblHeader w:val="true"/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Fold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Records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Animals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79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79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36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78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80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80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37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Each animal appears in one outer-test fold; assignments were fixed across frameworks and reused for the three-feature rerun.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t>Supplementary Table S8. Optuna search spaces</w:t>
      </w:r>
    </w:p>
    <w:tbl>
      <w:tblPr>
        <w:tblStyle w:val="aff4"/>
        <w:tblW w:w="15537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797"/>
        <w:gridCol w:w="5905"/>
        <w:gridCol w:w="6838"/>
      </w:tblGrid>
      <w:tr>
        <w:trPr>
          <w:tblHeader w:val="true"/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Parameter(s)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Range</w:t>
            </w:r>
          </w:p>
        </w:tc>
      </w:tr>
      <w:tr>
        <w:trPr>
          <w:cantSplit/>
        </w:trPr>
        <w:tc>
          <w:tcPr>
            <w:tcW w:w="517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n_estimators; max_depth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50-400; 2-10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learning_rate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0.001-0.3 (log)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subsample; colsample_bytree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0.5-1.0; 0.5-1.0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reg_alpha; reg_lambda; gamma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0-5; 0-5; 0-5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min_child_weight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1-10</w:t>
            </w:r>
          </w:p>
        </w:tc>
      </w:tr>
      <w:tr>
        <w:trPr>
          <w:cantSplit/>
        </w:trPr>
        <w:tc>
          <w:tcPr>
            <w:tcW w:w="517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n_estimators; max_depth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50-500; 2-10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learning_rate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0.001-0.3 (log)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num_leaves exponent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2-7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subsample; colsample_bytree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0.5-1.0; 0.5-1.0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reg_alpha; reg_lambda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0-5; 0-10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min_child_samples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5-50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min_child_weight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0.001-10 (log)</w:t>
            </w:r>
          </w:p>
        </w:tc>
      </w:tr>
      <w:tr>
        <w:trPr>
          <w:cantSplit/>
        </w:trPr>
        <w:tc>
          <w:tcPr>
            <w:tcW w:w="517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iterations; depth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50-500; 2-10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learning_rate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0.001-0.3 (log)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bagging_temperature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0-10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border_count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32-255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l2_leaf_reg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1-20</w:t>
            </w:r>
          </w:p>
        </w:tc>
      </w:tr>
      <w:tr>
        <w:trPr>
          <w:cantSplit/>
        </w:trPr>
        <w:tc>
          <w:tcPr>
            <w:tcW w:w="517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/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random_strength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0-10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Each of 15 studies used 100 trials; the objective was mean cumulative AUROC across five animal-grouped inner folds.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t>Supplementary Table S9. Out-of-fold performance across the three 26-feature classifiers</w:t>
      </w:r>
    </w:p>
    <w:tbl>
      <w:tblPr>
        <w:tblStyle w:val="aff4"/>
        <w:tblW w:w="15536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797"/>
        <w:gridCol w:w="5284"/>
        <w:gridCol w:w="3419"/>
        <w:gridCol w:w="4040"/>
      </w:tblGrid>
      <w:tr>
        <w:trPr>
          <w:tblHeader w:val="true"/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Metric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Estimate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95% CI</w:t>
            </w:r>
          </w:p>
        </w:tc>
      </w:tr>
      <w:tr>
        <w:trPr>
          <w:cantSplit/>
        </w:trPr>
        <w:tc>
          <w:tcPr>
            <w:tcW w:w="3884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0.8706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[0.8306, 0.9084]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0.8516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[0.8178, 0.8870]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0.8611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[0.8324, 0.8893]</w:t>
            </w:r>
          </w:p>
        </w:tc>
      </w:tr>
      <w:tr>
        <w:trPr>
          <w:cantSplit/>
        </w:trPr>
        <w:tc>
          <w:tcPr>
            <w:tcW w:w="3884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CatBoost (continued)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0.6439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[0.5938, 0.6957]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 (continued)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Balanced 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0.6056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[0.5495, 0.6609]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 (continued)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Ordinal MAE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0.4066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[0.3444, 0.4679]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 (continued)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Brier score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0.1405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[0.1245, 0.1565]</w:t>
            </w:r>
          </w:p>
        </w:tc>
      </w:tr>
      <w:tr>
        <w:trPr>
          <w:cantSplit/>
        </w:trPr>
        <w:tc>
          <w:tcPr>
            <w:tcW w:w="3884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0.8594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[0.8120, 0.9034]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0.8304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[0.7926, 0.8667]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0.8449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[0.8106, 0.8775]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0.6364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[0.5848, 0.6872]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Balanced 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0.5962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[0.5398, 0.6505]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Ordinal MAE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0.4571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[0.3879, 0.5319]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Brier score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0.1486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[0.1347, 0.1629]</w:t>
            </w:r>
          </w:p>
        </w:tc>
      </w:tr>
      <w:tr>
        <w:trPr>
          <w:cantSplit/>
        </w:trPr>
        <w:tc>
          <w:tcPr>
            <w:tcW w:w="3884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0.8519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[0.8024, 0.8976]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0.8174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[0.7818, 0.8537]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AUROC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0.8347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[0.8009, 0.8687]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0.6212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[0.5696, 0.6739]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Balanced accuracy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0.5803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[0.5241, 0.6366]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Ordinal MAE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0.4672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[0.3889, 0.5448]</w:t>
            </w:r>
          </w:p>
        </w:tc>
      </w:tr>
      <w:tr>
        <w:trPr>
          <w:cantSplit/>
        </w:trPr>
        <w:tc>
          <w:tcPr>
            <w:tcW w:w="3884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Mean cumulative Brier score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0.1544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[0.1387, 0.1702]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>
          <w:rFonts w:ascii="Arial" w:hAnsi="Arial"/>
          <w:b/>
          <w:color w:val="1F4E79"/>
          <w:sz w:val="18"/>
        </w:rPr>
      </w:pPr>
      <w:r>
        <w:t>All 396 records are mutually exclusive outer-test observations; 95% confidence intervals (CIs) use 5,000 experiment-stratified, animal-clustered bootstrap replicates.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t>Supplementary Table S10. Paired differences in mean cumulative AUROC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953"/>
        <w:gridCol w:w="2953"/>
        <w:gridCol w:w="2486"/>
        <w:gridCol w:w="4662"/>
        <w:gridCol w:w="2486"/>
      </w:tblGrid>
      <w:tr>
        <w:trPr>
          <w:tblHeader w:val="true"/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 A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 B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 - B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95% CI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 value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0.0162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[-0.0021, 0.0346]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0.0784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0.0264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[0.0086, 0.0447]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0.0040</w:t>
            </w:r>
          </w:p>
        </w:tc>
      </w:tr>
      <w:tr>
        <w:trPr>
          <w:cantSplit/>
        </w:trPr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259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0.0102</w:t>
            </w:r>
          </w:p>
        </w:tc>
        <w:tc>
          <w:tcPr>
            <w:tcW w:w="259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[-0.0062, 0.0258]</w:t>
            </w:r>
          </w:p>
        </w:tc>
        <w:tc>
          <w:tcPr>
            <w:tcW w:w="258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0.2228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Paired bootstrap was experiment stratified and animal clustered; two-sided sign-tail p values are descriptive and unadjusted.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rPr>
          <w:b/>
        </w:rPr>
        <w:t>Supplementary Table S11. Cross-fitted calibration selection</w:t>
      </w:r>
    </w:p>
    <w:tbl>
      <w:tblPr>
        <w:tblStyle w:val="aff4"/>
        <w:tblW w:w="15536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3885"/>
        <w:gridCol w:w="4662"/>
        <w:gridCol w:w="6993"/>
      </w:tblGrid>
      <w:tr>
        <w:trPr>
          <w:tblHeader w:val="true"/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Selected method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Δ mean Brier score [95% CI]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No calibration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0.0012 [-0.0015, 0.0040]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Logistic (Platt)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0.0065 [0.0007, 0.0126]</w:t>
            </w:r>
          </w:p>
        </w:tc>
      </w:tr>
      <w:tr>
        <w:trPr>
          <w:cantSplit/>
        </w:trPr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Logistic (Platt)</w:t>
            </w:r>
          </w:p>
        </w:tc>
        <w:tc>
          <w:tcPr>
            <w:tcW w:w="3884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0.0081 [0.0022, 0.0147]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>
          <w:i/>
          <w:color w:val="555555"/>
          <w:sz w:val="15"/>
        </w:rPr>
      </w:pPr>
      <w:r>
        <w:t>Positive values indicate lower mean cumulative Brier score after logistic calibration. CatBoost remained uncalibrated because its CI included zero and log loss worsened.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rPr>
          <w:b/>
        </w:rPr>
        <w:t>Supplementary Table S12. Out-of-fold confusion matrices for the three 26-feature classifiers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797"/>
        <w:gridCol w:w="2797"/>
        <w:gridCol w:w="3263"/>
        <w:gridCol w:w="3263"/>
        <w:gridCol w:w="3420"/>
      </w:tblGrid>
      <w:tr>
        <w:trPr>
          <w:tblHeader w:val="true"/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Framework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Observed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Predicted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Count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Row, %</w:t>
            </w:r>
          </w:p>
        </w:tc>
      </w:tr>
      <w:tr>
        <w:trPr>
          <w:cantSplit/>
        </w:trPr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85.1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11.4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3.4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34.5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42.2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23.3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13.3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32.4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CatBoost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54.3</w:t>
            </w:r>
          </w:p>
        </w:tc>
      </w:tr>
      <w:tr>
        <w:trPr>
          <w:cantSplit/>
        </w:trPr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86.3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8.6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5.1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39.7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34.5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25.9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26.7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15.2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LightGBM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58.1</w:t>
            </w:r>
          </w:p>
        </w:tc>
      </w:tr>
      <w:tr>
        <w:trPr>
          <w:cantSplit/>
        </w:trPr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85.1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9.7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5.1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37.9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32.8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29.3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24.8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19.0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XGBoost</w:t>
            </w:r>
          </w:p>
        </w:tc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56.2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t>Supplementary Table S13. Combined SHAP-ablation feature ranking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020"/>
        <w:gridCol w:w="6216"/>
        <w:gridCol w:w="2176"/>
        <w:gridCol w:w="2331"/>
        <w:gridCol w:w="2797"/>
      </w:tblGrid>
      <w:tr>
        <w:trPr>
          <w:tblHeader w:val="1"/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Overall rank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Feature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SHAP rank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Mean SHAP rank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Δ mean cumulative AUROC (baseline - ablated)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fp_intensity_density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1.00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0.02243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fp_intensity_loading_fraction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4.20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0.00159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hp_loading_rate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6.60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0.00349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fp_loading_speed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5.80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0.00063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hp_loading_speed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8.60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0.00098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hp_temporal_contact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8.93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0.00300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hp_integrated_loading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9.13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0.00138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fp_temporal_contact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6.33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0.00170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fp_peak_loading_index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7.87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-0.00106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fp_loading_rate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11.40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0.00076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fp_functional_output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7.87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-0.00134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hp_intensity_density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14.33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0.00173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fp_propulsion_time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15.00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0.00185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hp_propulsion_loading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15.77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0.00248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hp_intensity_loading_fraction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14.53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0.00093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fp_stride_length_per_cycle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17.07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0.00146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fp_integrated_loading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17.67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0.00073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hp_functional_output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15.23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-0.00144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fp_maxintensity_loading_fraction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17.13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0.00123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stand_symmetry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21.60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0.00137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duty_cycle_symmetry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22.20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0.00183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swing_symmetry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19.53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0.00075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hp_stride_length_per_cycle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23.37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0.00259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hp_maxintensity_loading_fraction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18.47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-0.00070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hp_peak_loading_index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18.70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-0.00027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26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hp_propulsion_time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25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22.67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0.00161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>
          <w:rFonts w:ascii="Arial" w:hAnsi="Arial"/>
          <w:b/>
          <w:color w:val="1F4E79"/>
          <w:sz w:val="18"/>
        </w:rPr>
      </w:pPr>
      <w:r>
        <w:t>Supplementary Table S14. Feature-ranking agreement across 26 features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10567"/>
        <w:gridCol w:w="2642"/>
        <w:gridCol w:w="2331"/>
      </w:tblGrid>
      <w:tr>
        <w:trPr>
          <w:tblHeader w:val="true"/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Comparison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Statistic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Value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SHAP across 15 fold-model judges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Kendall W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0.686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Ablation across 15 fold-model judges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Kendall W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0.168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All 30 SHAP and ablation judges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Kendall W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0.278</w:t>
            </w:r>
          </w:p>
        </w:tc>
      </w:tr>
      <w:tr>
        <w:trPr>
          <w:cantSplit/>
        </w:trPr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Method-consensus rankings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Kendall W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0.701</w:t>
            </w:r>
          </w:p>
        </w:tc>
      </w:tr>
      <w:tr>
        <w:trPr>
          <w:cantSplit/>
        </w:trPr>
        <w:tc>
          <w:tcPr>
            <w:tcW w:w="3108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SHAP vs ablation consensus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Spearman rho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0.217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SHAP vs ablation consensus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Kendall tau-b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0.169</w:t>
            </w:r>
          </w:p>
        </w:tc>
      </w:tr>
      <w:tr>
        <w:trPr>
          <w:cantSplit/>
        </w:trPr>
        <w:tc>
          <w:tcPr>
            <w:tcW w:w="3108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SHAP vs ablation consensus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Rank R-squared</w:t>
            </w:r>
          </w:p>
        </w:tc>
        <w:tc>
          <w:tcPr>
            <w:tcW w:w="3108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0.047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S15. Post-selection three-feature panel and nested cross-validation performance</w:t>
      </w:r>
    </w:p>
    <w:tbl>
      <w:tblPr>
        <w:tblStyle w:val="aff4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20"/>
        <w:gridCol w:w="2797"/>
        <w:gridCol w:w="5284"/>
        <w:gridCol w:w="1554"/>
        <w:gridCol w:w="1554"/>
        <w:gridCol w:w="2331"/>
      </w:tblGrid>
      <w:tr>
        <w:trPr>
          <w:cantSplit/>
          <w:tblHeader/>
        </w:trPr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Section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Rank / framework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Feature / scope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Early AUROC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Late AUROC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Mean cumulative AUROC [95% CI]</w:t>
            </w:r>
          </w:p>
        </w:tc>
      </w:tr>
      <w:tr>
        <w:trPr>
          <w:cantSplit/>
        </w:trPr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Panel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1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fp_intensity_density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</w:tr>
      <w:tr>
        <w:trPr>
          <w:cantSplit/>
        </w:trPr>
        <w:tc>
          <w:tcPr>
            <w:tcW w:type="dxa" w:w="2590"/>
          </w:tcPr>
          <w:p>
            <w:r>
              <w:t>Panel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2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fp_intensity_loading_fraction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</w:tr>
      <w:tr>
        <w:trPr>
          <w:cantSplit/>
        </w:trPr>
        <w:tc>
          <w:tcPr>
            <w:tcW w:type="dxa" w:w="2590"/>
          </w:tcPr>
          <w:p>
            <w:r>
              <w:t>Panel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3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hp_loading_rate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-</w:t>
            </w:r>
          </w:p>
        </w:tc>
      </w:tr>
      <w:tr>
        <w:trPr>
          <w:cantSplit/>
        </w:trPr>
        <w:tc>
          <w:tcPr>
            <w:tcW w:type="dxa" w:w="2590"/>
          </w:tcPr>
          <w:p>
            <w:r>
              <w:t>Performance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CatBoost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All three features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0.880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0.833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0.856 [0.826-0.886]</w:t>
            </w:r>
          </w:p>
        </w:tc>
      </w:tr>
      <w:tr>
        <w:trPr>
          <w:cantSplit/>
        </w:trPr>
        <w:tc>
          <w:tcPr>
            <w:tcW w:type="dxa" w:w="2590"/>
          </w:tcPr>
          <w:p>
            <w:r>
              <w:t>Performance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LightGBM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All three features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0.874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0.837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EF5E9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0.856 [0.826-0.886]</w:t>
            </w:r>
          </w:p>
        </w:tc>
      </w:tr>
      <w:tr>
        <w:trPr>
          <w:cantSplit/>
        </w:trPr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sz w:val="15"/>
              </w:rPr>
              <w:t>Performance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XGBoost</w:t>
            </w:r>
          </w:p>
        </w:tc>
        <w:tc>
          <w:tcPr>
            <w:tcW w:type="dxa" w:w="2590"/>
            <w:vMerge w:val="restart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All three features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0.878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0.840</w:t>
            </w:r>
          </w:p>
        </w:tc>
        <w:tc>
          <w:tcPr>
            <w:tcW w:type="dxa" w:w="259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val="clear" w:color="auto" w:fill="E8F2E3"/>
          </w:tcPr>
          <w:p>
            <w:pPr>
              <w:keepLines/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sz w:val="15"/>
              </w:rPr>
              <w:t>0.859 [0.830-0.888]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>
          <w:i/>
          <w:color w:val="555555"/>
          <w:sz w:val="15"/>
        </w:rPr>
      </w:pPr>
      <w:r>
        <w:t>Fresh 5 × 5 animal-grouped nested cross-validation used all three features. CIs are animal clustered. Because selection used the same 115 animals, results are post-selection sensitivity estimates, not independent validation.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S16. Recovery index by phase and framework</w:t>
      </w:r>
    </w:p>
    <w:tbl>
      <w:tblPr>
        <w:tblStyle w:val="aff4"/>
        <w:tblW w:w="15540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3419"/>
        <w:gridCol w:w="2797"/>
        <w:gridCol w:w="3108"/>
        <w:gridCol w:w="3108"/>
        <w:gridCol w:w="3108"/>
      </w:tblGrid>
      <w:tr>
        <w:trPr>
          <w:tblHeader w:val="true"/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Index source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Phase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Mean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SD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Median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221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Early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22.77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16.81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16.87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24.59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16.11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18.33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25.06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15.31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17.58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Ensemble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Early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24.14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15.92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17.01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221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Middle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49.66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23.02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50.19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49.32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21.87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46.82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48.84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21.06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45.35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Ensemble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Middle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49.28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21.81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47.18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2219" w:type="dxa"/>
            <w:vMerge w:val="restart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Late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64.58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21.52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68.50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63.78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19.78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69.24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63.21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19.15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68.65</w:t>
            </w:r>
          </w:p>
        </w:tc>
      </w:tr>
      <w:tr>
        <w:trPr>
          <w:cantSplit/>
        </w:trPr>
        <w:tc>
          <w:tcPr>
            <w:tcW w:w="2220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Ensemble</w:t>
            </w:r>
          </w:p>
        </w:tc>
        <w:tc>
          <w:tcPr>
            <w:tcW w:w="2219" w:type="dxa"/>
            <w:vMerge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Late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63.86</w:t>
            </w:r>
          </w:p>
        </w:tc>
        <w:tc>
          <w:tcPr>
            <w:tcW w:w="221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19.94</w:t>
            </w:r>
          </w:p>
        </w:tc>
        <w:tc>
          <w:tcPr>
            <w:tcW w:w="2221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EEF5E9"/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70.40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Phase sizes (records/animals): Early 175/93; Middle 116/58; Late 105/33. Ensemble means (95% CI): Early 24.1 (21.9-26.7); Middle 49.3 (44.1-54.4); Late 63.9 (58.8-68.8). Equal-weight Platt-calibrated ensemble: Early, Late, and mean cumulative AUROCs 0.865, 0.828, and 0.846; Spearman rho with phase = 0.655.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S17. Generalized additive model (GAM) surrogate fidelity</w:t>
      </w:r>
    </w:p>
    <w:tbl>
      <w:tblPr>
        <w:tblStyle w:val="aff4"/>
        <w:tblW w:w="15538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9324"/>
        <w:gridCol w:w="6216"/>
      </w:tblGrid>
      <w:tr>
        <w:trPr>
          <w:tblHeader w:val="true"/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Metric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Out-of-fold estimate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R-squared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0.9566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RMSE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5.260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MAE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4.007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Mean error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-0.348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Max absolute error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16.456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Within 5 index points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71.0%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Within 10 index points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91.9%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Pearson r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0.9783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Spearman rho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0.9688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Concordance correlation coefficient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0.9782</w:t>
            </w:r>
          </w:p>
        </w:tc>
      </w:tr>
      <w:tr>
        <w:trPr>
          <w:cantSplit/>
        </w:trPr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Agreement slope</w:t>
            </w:r>
          </w:p>
        </w:tc>
        <w:tc>
          <w:tcPr>
            <w:tcW w:w="776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0.9844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Target: Workflow 13 ensemble index. Values measure surrogate fidelity, not independent recovery-phase validation.</w:t>
      </w:r>
    </w:p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S18. Software environment and classifier-ensemble artifact</w:t>
      </w:r>
    </w:p>
    <w:tbl>
      <w:tblPr>
        <w:tblStyle w:val="aff4"/>
        <w:tblW w:w="15537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3730"/>
        <w:gridCol w:w="3108"/>
        <w:gridCol w:w="8702"/>
      </w:tblGrid>
      <w:tr>
        <w:trPr>
          <w:tblHeader w:val="true"/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Component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Version / value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Role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Python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3.10.8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Workflows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scikit-learn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1.7.2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Pipelines; grouped CV; metrics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XGBoost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3.2.0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Three-classifier comparison; co-equal ensemble component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LightGBM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4.7.0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Three-classifier comparison; co-equal ensemble component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CatBoost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1.2.10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Three-classifier comparison; co-equal ensemble component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Optuna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4.9.0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100-trial search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pandas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2.3.3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Data processing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NumPy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2.2.6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Numerics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joblib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1.5.3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Persistence; parallelism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SciPy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1.15.3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Bootstrap; correlations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Matplotlib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3.10.9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Figures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Base seed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Folds; derived seeds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Ensemble frameworks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XGBoost; LightGBM; CatBoost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Equal one-third weights; no framework selection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Features per component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3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Locked Workflow-12 panel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Component calibration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Platt/logistic for all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Workflow-13 comparability policy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Artifact SHA-256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Recorded per component and ensemble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Workflow-15 run manifest</w:t>
            </w:r>
          </w:p>
        </w:tc>
      </w:tr>
    </w:tbl>
    <w:p>
      <w:pPr>
        <w:pStyle w:val="TableCaption"/>
        <w:keepNext/>
        <w:pageBreakBefore w:val="0"/>
        <w:spacing w:before="120" w:after="60" w:line="276" w:lineRule="auto"/>
        <w:jc w:val="left"/>
        <w:rPr/>
      </w:pPr>
      <w:r>
        <w:t>Supplementary Table S19. Workflow outputs</w:t>
      </w:r>
    </w:p>
    <w:tbl>
      <w:tblPr>
        <w:tblStyle w:val="aff4"/>
        <w:tblW w:w="15537" w:type="dxa"/>
        <w:jc w:val="center"/>
        <w:tblInd w:w="0" w:type="dxa"/>
        <w:tblLayout w:type="fixed"/>
        <w:tblCellMar>
          <w:top w:w="75" w:type="dxa"/>
          <w:start w:w="90" w:type="dxa"/>
          <w:bottom w:w="75" w:type="dxa"/>
          <w:end w:w="90" w:type="dxa"/>
        </w:tblCellMar>
        <w:tblLook w:val="04a0" w:firstRow="1" w:noVBand="1" w:lastRow="0" w:firstColumn="1" w:lastColumn="0" w:noHBand="0"/>
      </w:tblPr>
      <w:tblGrid>
        <w:gridCol w:w="2020"/>
        <w:gridCol w:w="5439"/>
        <w:gridCol w:w="8081"/>
      </w:tblGrid>
      <w:tr>
        <w:trPr>
          <w:tblHeader w:val="true"/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Step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Purpose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val="clear" w:color="auto" w:fill="D9EAF7"/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/>
                <w:kern w:val="0"/>
                <w:sz w:val="15"/>
                <w:szCs w:val="22"/>
                <w:lang w:val="en-US" w:eastAsia="en-US" w:bidi="ar-SA"/>
              </w:rPr>
              <w:t>Output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00-04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Cohort preparation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Frozen 396-record cohort; QC audits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05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Three-classifier 26-feature nested comparison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 fold models; out-of-fold predictions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06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Clustered inference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Metrics, CIs, paired comparisons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07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Cross-fitted calibration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Selected method per framework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08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Prediction sensitivity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Estimand comparisons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09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Native TreeSHAP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Held-out attributions; rankings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10-11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Ablation and consensus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26-feature effects; consensus ranks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12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Three-feature nested cross-validation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Fresh three-feature out-of-fold predictions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13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Recovery index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Framework indices; equal-weight ensemble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14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GAM surrogate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Out-of-fold fidelity; deployable spline model</w:t>
            </w:r>
          </w:p>
        </w:tc>
      </w:tr>
      <w:tr>
        <w:trPr>
          <w:cantSplit/>
        </w:trPr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15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Classifier-ensemble fitting and export</w:t>
            </w:r>
          </w:p>
        </w:tc>
        <w:tc>
          <w:tcPr>
            <w:tcW w:w="5179" w:type="dxa"/>
            <w:tcBorders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keepNext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" w:cs="Arial" w:ascii="Arial" w:hAnsi="Arial"/>
                <w:b w:val="false"/>
                <w:kern w:val="0"/>
                <w:sz w:val="15"/>
                <w:szCs w:val="22"/>
                <w:lang w:val="en-US" w:eastAsia="en-US" w:bidi="ar-SA"/>
              </w:rPr>
              <w:t>Three Platt-calibrated three-feature components; equal-weight ensemble artifact</w:t>
            </w:r>
          </w:p>
        </w:tc>
      </w:tr>
    </w:tbl>
    <w:p>
      <w:pPr>
        <w:pStyle w:val="TableNote"/>
        <w:keepNext w:val="0"/>
        <w:pageBreakBefore w:val="0"/>
        <w:spacing w:before="20" w:after="120" w:line="276" w:lineRule="auto"/>
        <w:jc w:val="left"/>
        <w:rPr/>
      </w:pPr>
      <w:r>
        <w:t>Experiment balanced the folds but was not a held-out validation unit because phase support differed across studies.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648" w:right="648" w:gutter="0" w:header="432" w:top="648" w:footer="432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Times New Roman" w:hAnsi="Times New Roman" w:eastAsia="Times New Roman" w:cs="Times New Roman"/>
        <w:sz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Times New Roman" w:hAnsi="Times New Roman" w:eastAsia="Times New Roman" w:cs="Times New Roman"/>
        <w:i/>
        <w:sz w:val="18"/>
      </w:rPr>
      <w:fldChar w:fldCharType="begin"/>
    </w:r>
    <w:r>
      <w:rPr>
        <w:rFonts w:ascii="Times New Roman" w:hAnsi="Times New Roman" w:eastAsia="Times New Roman" w:cs="Times New Roman"/>
        <w:i/>
        <w:sz w:val="18"/>
      </w:rPr>
      <w:instrText xml:space="preserve"> PAGE </w:instrText>
    </w:r>
    <w:r>
      <w:rPr>
        <w:rFonts w:ascii="Times New Roman" w:hAnsi="Times New Roman" w:eastAsia="Times New Roman" w:cs="Times New Roman"/>
        <w:i/>
        <w:sz w:val="18"/>
      </w:rPr>
      <w:fldChar w:fldCharType="separate"/>
    </w:r>
    <w:r>
      <w:rPr>
        <w:rFonts w:ascii="Times New Roman" w:hAnsi="Times New Roman" w:eastAsia="Times New Roman" w:cs="Times New Roman"/>
        <w:i/>
        <w:sz w:val="18"/>
      </w:rPr>
      <w:t>12</w:t>
    </w:r>
    <w:r>
      <w:rPr>
        <w:rFonts w:ascii="Times New Roman" w:hAnsi="Times New Roman" w:eastAsia="Times New Roman" w:cs="Times New Roman"/>
        <w:i/>
        <w:sz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Times New Roman" w:hAnsi="Times New Roman" w:eastAsia="Times New Roman" w:cs="Times New Roman"/>
        <w:i/>
        <w:sz w:val="18"/>
      </w:rPr>
      <w:fldChar w:fldCharType="begin"/>
    </w:r>
    <w:r>
      <w:rPr>
        <w:rFonts w:ascii="Times New Roman" w:hAnsi="Times New Roman" w:eastAsia="Times New Roman" w:cs="Times New Roman"/>
        <w:i/>
        <w:sz w:val="18"/>
      </w:rPr>
      <w:instrText xml:space="preserve"> PAGE </w:instrText>
    </w:r>
    <w:r>
      <w:rPr>
        <w:rFonts w:ascii="Times New Roman" w:hAnsi="Times New Roman" w:eastAsia="Times New Roman" w:cs="Times New Roman"/>
        <w:i/>
        <w:sz w:val="18"/>
      </w:rPr>
      <w:fldChar w:fldCharType="separate"/>
    </w:r>
    <w:r>
      <w:rPr>
        <w:rFonts w:ascii="Times New Roman" w:hAnsi="Times New Roman" w:eastAsia="Times New Roman" w:cs="Times New Roman"/>
        <w:i/>
        <w:sz w:val="18"/>
      </w:rPr>
      <w:t>12</w:t>
    </w:r>
    <w:r>
      <w:rPr>
        <w:rFonts w:ascii="Times New Roman" w:hAnsi="Times New Roman" w:eastAsia="Times New Roman" w:cs="Times New Roman"/>
        <w:i/>
        <w:sz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00" w:line="264" w:lineRule="auto"/>
    </w:pPr>
    <w:rPr>
      <w:rFonts w:ascii="Times New Roman" w:eastAsia="Times New Roman" w:hAnsi="Times New Roman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6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20" w:after="4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6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aa">
    <w:name w:val="Title"/>
    <w:basedOn w:val="a1"/>
    <w:next w:val="ae"/>
    <w:link w:val="a9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 w:after="160"/>
      <w:contextualSpacing/>
      <w:jc w:val="center"/>
    </w:pPr>
    <w:rPr>
      <w:rFonts w:ascii="Calibri" w:hAnsi="Calibri" w:eastAsia="Calibri" w:cs="Calibri"/>
      <w:b/>
      <w:color w:val="2F5B7E"/>
      <w:spacing w:val="5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6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6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6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6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6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6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6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6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6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aption">
    <w:name w:val="Table Caption"/>
    <w:qFormat/>
    <w:pPr>
      <w:keepNext/>
      <w:spacing w:after="60" w:line="276" w:lineRule="auto" w:before="120"/>
      <w:jc w:val="left"/>
    </w:pPr>
    <w:rPr>
      <w:rFonts w:ascii="Times New Roman" w:hAnsi="Times New Roman" w:eastAsia="Times New Roman" w:cs="Times New Roman"/>
      <w:sz w:val="18"/>
    </w:rPr>
  </w:style>
  <w:style w:type="paragraph" w:customStyle="1" w:styleId="TableNote">
    <w:name w:val="Table Note"/>
    <w:qFormat/>
    <w:pPr>
      <w:keepNext w:val="0"/>
      <w:spacing w:after="120" w:line="276" w:lineRule="auto" w:before="20"/>
      <w:jc w:val="left"/>
    </w:pPr>
    <w:rPr>
      <w:rFonts w:ascii="Times New Roman" w:hAnsi="Times New Roman" w:eastAsia="Times New Roman" w:cs="Times New Roman"/>
      <w:sz w:val="16"/>
    </w:rPr>
  </w:style>
  <w:style w:type="paragraph" w:customStyle="1" w:styleId="SupplementSubtitle">
    <w:name w:val="Supplement Subtitle"/>
    <w:basedOn w:val="a1"/>
    <w:pPr>
      <w:keepNext/>
      <w:spacing w:before="0" w:after="200" w:line="240" w:lineRule="auto"/>
      <w:jc w:val="center"/>
    </w:pPr>
    <w:rPr>
      <w:rFonts w:ascii="Times New Roman" w:hAnsi="Times New Roman" w:eastAsia="Times New Roman" w:cs="Times New Roman"/>
      <w:i/>
      <w:color w:val="666666"/>
      <w:sz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